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g" ContentType="image/jpeg"/>
  <Default Extension="emf" ContentType="image/x-em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593C27" w14:textId="77777777" w:rsidR="0034602B" w:rsidRDefault="001B1C9F">
      <w:pPr>
        <w:pStyle w:val="normal0"/>
        <w:ind w:left="-1350"/>
        <w:jc w:val="center"/>
        <w:rPr>
          <w:rFonts w:ascii="Arial" w:eastAsia="Arial" w:hAnsi="Arial" w:cs="Arial"/>
          <w:b/>
          <w:sz w:val="28"/>
          <w:szCs w:val="28"/>
        </w:rPr>
      </w:pPr>
      <w:r>
        <w:rPr>
          <w:rFonts w:ascii="Arial" w:eastAsia="Arial" w:hAnsi="Arial" w:cs="Arial"/>
          <w:b/>
          <w:sz w:val="28"/>
          <w:szCs w:val="28"/>
        </w:rPr>
        <w:t>Supplemental Information for:</w:t>
      </w:r>
    </w:p>
    <w:p w14:paraId="7065A903" w14:textId="77777777" w:rsidR="0034602B" w:rsidRDefault="0034602B">
      <w:pPr>
        <w:pStyle w:val="normal0"/>
        <w:ind w:left="-1350" w:right="-1260"/>
        <w:jc w:val="center"/>
        <w:rPr>
          <w:rFonts w:ascii="Arial" w:eastAsia="Arial" w:hAnsi="Arial" w:cs="Arial"/>
          <w:b/>
          <w:sz w:val="28"/>
          <w:szCs w:val="28"/>
        </w:rPr>
      </w:pPr>
    </w:p>
    <w:p w14:paraId="0711DA3E" w14:textId="77777777" w:rsidR="0034602B" w:rsidRDefault="001B1C9F">
      <w:pPr>
        <w:pStyle w:val="normal0"/>
        <w:jc w:val="center"/>
        <w:rPr>
          <w:rFonts w:ascii="Arial" w:eastAsia="Arial" w:hAnsi="Arial" w:cs="Arial"/>
          <w:color w:val="000090"/>
          <w:sz w:val="32"/>
          <w:szCs w:val="32"/>
        </w:rPr>
      </w:pPr>
      <w:r>
        <w:rPr>
          <w:rFonts w:ascii="Arial" w:eastAsia="Arial" w:hAnsi="Arial" w:cs="Arial"/>
          <w:color w:val="000090"/>
          <w:sz w:val="32"/>
          <w:szCs w:val="32"/>
          <w:highlight w:val="white"/>
        </w:rPr>
        <w:t>Caste- and pesticide-specific effects of neonicotinoid pesticide exposure on gene expression in bumblebees</w:t>
      </w:r>
    </w:p>
    <w:p w14:paraId="52EE43A1" w14:textId="77777777" w:rsidR="0034602B" w:rsidRDefault="0034602B">
      <w:pPr>
        <w:pStyle w:val="normal0"/>
        <w:rPr>
          <w:rFonts w:ascii="Arial" w:eastAsia="Arial" w:hAnsi="Arial" w:cs="Arial"/>
          <w:sz w:val="20"/>
          <w:szCs w:val="20"/>
        </w:rPr>
      </w:pPr>
    </w:p>
    <w:p w14:paraId="19A55FCB" w14:textId="77777777" w:rsidR="0034602B" w:rsidRDefault="001B1C9F">
      <w:pPr>
        <w:pStyle w:val="normal0"/>
        <w:shd w:val="clear" w:color="auto" w:fill="FFFFFF"/>
        <w:jc w:val="center"/>
        <w:rPr>
          <w:rFonts w:ascii="Arial" w:eastAsia="Arial" w:hAnsi="Arial" w:cs="Arial"/>
          <w:color w:val="000000"/>
        </w:rPr>
      </w:pPr>
      <w:r>
        <w:rPr>
          <w:rFonts w:ascii="Arial" w:eastAsia="Arial" w:hAnsi="Arial" w:cs="Arial"/>
          <w:color w:val="000000"/>
        </w:rPr>
        <w:t>Thomas J. Colgan, Isabel K. Fletcher, Andres N. Arce, Richard J. Gill, Ana Ramos Rodrigues, Eckart Stolle, Lars Chittka and Yannick Wurm</w:t>
      </w:r>
    </w:p>
    <w:p w14:paraId="78589C39" w14:textId="77777777" w:rsidR="0034602B" w:rsidRDefault="001B1C9F">
      <w:pPr>
        <w:pStyle w:val="normal0"/>
        <w:tabs>
          <w:tab w:val="left" w:pos="3040"/>
        </w:tabs>
        <w:ind w:left="-1350" w:right="-1260"/>
        <w:rPr>
          <w:rFonts w:ascii="Arial" w:eastAsia="Arial" w:hAnsi="Arial" w:cs="Arial"/>
        </w:rPr>
      </w:pPr>
      <w:r>
        <w:rPr>
          <w:rFonts w:ascii="Arial" w:eastAsia="Arial" w:hAnsi="Arial" w:cs="Arial"/>
        </w:rPr>
        <w:tab/>
      </w:r>
    </w:p>
    <w:p w14:paraId="7A6E40B9" w14:textId="77777777" w:rsidR="0034602B" w:rsidRDefault="0034602B">
      <w:pPr>
        <w:pStyle w:val="normal0"/>
        <w:ind w:right="-1260"/>
        <w:rPr>
          <w:rFonts w:ascii="Arial" w:eastAsia="Arial" w:hAnsi="Arial" w:cs="Arial"/>
        </w:rPr>
      </w:pPr>
    </w:p>
    <w:p w14:paraId="72B5E986" w14:textId="77777777" w:rsidR="0034602B" w:rsidRDefault="001B1C9F">
      <w:pPr>
        <w:pStyle w:val="normal0"/>
        <w:ind w:right="-1260"/>
        <w:rPr>
          <w:rFonts w:ascii="Arial" w:eastAsia="Arial" w:hAnsi="Arial" w:cs="Arial"/>
          <w:b/>
          <w:color w:val="002060"/>
          <w:sz w:val="32"/>
          <w:szCs w:val="32"/>
        </w:rPr>
      </w:pPr>
      <w:r>
        <w:rPr>
          <w:rFonts w:ascii="Arial" w:eastAsia="Arial" w:hAnsi="Arial" w:cs="Arial"/>
        </w:rPr>
        <w:tab/>
      </w:r>
      <w:r>
        <w:rPr>
          <w:rFonts w:ascii="Arial" w:eastAsia="Arial" w:hAnsi="Arial" w:cs="Arial"/>
          <w:b/>
          <w:color w:val="002060"/>
          <w:sz w:val="32"/>
          <w:szCs w:val="32"/>
        </w:rPr>
        <w:t>Table of Contents:</w:t>
      </w:r>
    </w:p>
    <w:p w14:paraId="47CC9E4F" w14:textId="77777777" w:rsidR="0034602B" w:rsidRDefault="0034602B">
      <w:pPr>
        <w:pStyle w:val="normal0"/>
        <w:ind w:right="-1260"/>
        <w:rPr>
          <w:rFonts w:ascii="Arial" w:eastAsia="Arial" w:hAnsi="Arial" w:cs="Arial"/>
          <w:b/>
          <w:color w:val="002060"/>
          <w:sz w:val="32"/>
          <w:szCs w:val="32"/>
        </w:rPr>
      </w:pPr>
    </w:p>
    <w:tbl>
      <w:tblPr>
        <w:tblStyle w:val="a"/>
        <w:tblW w:w="63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1710"/>
      </w:tblGrid>
      <w:tr w:rsidR="0034602B" w14:paraId="2C3E8C4A" w14:textId="77777777">
        <w:trPr>
          <w:jc w:val="center"/>
        </w:trPr>
        <w:tc>
          <w:tcPr>
            <w:tcW w:w="4680" w:type="dxa"/>
          </w:tcPr>
          <w:p w14:paraId="0FE21472" w14:textId="77777777" w:rsidR="0034602B" w:rsidRDefault="001B1C9F">
            <w:pPr>
              <w:pStyle w:val="normal0"/>
              <w:rPr>
                <w:rFonts w:ascii="Arial" w:eastAsia="Arial" w:hAnsi="Arial" w:cs="Arial"/>
                <w:b/>
              </w:rPr>
            </w:pPr>
            <w:r>
              <w:rPr>
                <w:rFonts w:ascii="Arial" w:eastAsia="Arial" w:hAnsi="Arial" w:cs="Arial"/>
                <w:b/>
              </w:rPr>
              <w:t>Comparing kallisto pseudoalignment and HISAT2 mapping-based quantification of reads to detect differential expression</w:t>
            </w:r>
          </w:p>
        </w:tc>
        <w:tc>
          <w:tcPr>
            <w:tcW w:w="1710" w:type="dxa"/>
          </w:tcPr>
          <w:p w14:paraId="6F37016C" w14:textId="77777777" w:rsidR="0034602B" w:rsidRDefault="001B1C9F">
            <w:pPr>
              <w:pStyle w:val="normal0"/>
              <w:tabs>
                <w:tab w:val="left" w:pos="975"/>
              </w:tabs>
              <w:ind w:right="-1260"/>
              <w:rPr>
                <w:rFonts w:ascii="Arial" w:eastAsia="Arial" w:hAnsi="Arial" w:cs="Arial"/>
              </w:rPr>
            </w:pPr>
            <w:r>
              <w:rPr>
                <w:rFonts w:ascii="Arial" w:eastAsia="Arial" w:hAnsi="Arial" w:cs="Arial"/>
              </w:rPr>
              <w:t>Page 2-</w:t>
            </w:r>
            <w:r w:rsidR="00BD18F1">
              <w:rPr>
                <w:rFonts w:ascii="Arial" w:eastAsia="Arial" w:hAnsi="Arial" w:cs="Arial"/>
              </w:rPr>
              <w:t>3</w:t>
            </w:r>
          </w:p>
        </w:tc>
      </w:tr>
      <w:tr w:rsidR="0034602B" w14:paraId="791B4345" w14:textId="77777777">
        <w:trPr>
          <w:jc w:val="center"/>
        </w:trPr>
        <w:tc>
          <w:tcPr>
            <w:tcW w:w="4680" w:type="dxa"/>
          </w:tcPr>
          <w:p w14:paraId="7698B6B1" w14:textId="77777777" w:rsidR="0034602B" w:rsidRDefault="001B1C9F">
            <w:pPr>
              <w:pStyle w:val="normal0"/>
              <w:ind w:right="-1260"/>
              <w:rPr>
                <w:rFonts w:ascii="Arial" w:eastAsia="Arial" w:hAnsi="Arial" w:cs="Arial"/>
                <w:b/>
              </w:rPr>
            </w:pPr>
            <w:r>
              <w:rPr>
                <w:rFonts w:ascii="Arial" w:eastAsia="Arial" w:hAnsi="Arial" w:cs="Arial"/>
                <w:b/>
              </w:rPr>
              <w:t>Supplemental Figure S1</w:t>
            </w:r>
          </w:p>
        </w:tc>
        <w:tc>
          <w:tcPr>
            <w:tcW w:w="1710" w:type="dxa"/>
          </w:tcPr>
          <w:p w14:paraId="5BA58CE6" w14:textId="77777777" w:rsidR="0034602B" w:rsidRDefault="001B1C9F">
            <w:pPr>
              <w:pStyle w:val="normal0"/>
              <w:tabs>
                <w:tab w:val="left" w:pos="1110"/>
              </w:tabs>
              <w:ind w:right="-1260"/>
              <w:rPr>
                <w:rFonts w:ascii="Arial" w:eastAsia="Arial" w:hAnsi="Arial" w:cs="Arial"/>
              </w:rPr>
            </w:pPr>
            <w:r>
              <w:rPr>
                <w:rFonts w:ascii="Arial" w:eastAsia="Arial" w:hAnsi="Arial" w:cs="Arial"/>
              </w:rPr>
              <w:t xml:space="preserve">Page </w:t>
            </w:r>
            <w:r w:rsidR="00BD18F1">
              <w:rPr>
                <w:rFonts w:ascii="Arial" w:eastAsia="Arial" w:hAnsi="Arial" w:cs="Arial"/>
              </w:rPr>
              <w:t>4</w:t>
            </w:r>
          </w:p>
        </w:tc>
      </w:tr>
      <w:tr w:rsidR="0034602B" w14:paraId="587C4185" w14:textId="77777777">
        <w:trPr>
          <w:jc w:val="center"/>
        </w:trPr>
        <w:tc>
          <w:tcPr>
            <w:tcW w:w="4680" w:type="dxa"/>
          </w:tcPr>
          <w:p w14:paraId="25F0A79A" w14:textId="77777777" w:rsidR="0034602B" w:rsidRDefault="001B1C9F">
            <w:pPr>
              <w:pStyle w:val="normal0"/>
              <w:ind w:right="-1260"/>
              <w:rPr>
                <w:rFonts w:ascii="Arial" w:eastAsia="Arial" w:hAnsi="Arial" w:cs="Arial"/>
                <w:b/>
              </w:rPr>
            </w:pPr>
            <w:r>
              <w:rPr>
                <w:rFonts w:ascii="Arial" w:eastAsia="Arial" w:hAnsi="Arial" w:cs="Arial"/>
                <w:b/>
              </w:rPr>
              <w:t>Supplemental Figure S2</w:t>
            </w:r>
          </w:p>
        </w:tc>
        <w:tc>
          <w:tcPr>
            <w:tcW w:w="1710" w:type="dxa"/>
          </w:tcPr>
          <w:p w14:paraId="1C5A8A67" w14:textId="77777777" w:rsidR="0034602B" w:rsidRDefault="001B1C9F">
            <w:pPr>
              <w:pStyle w:val="normal0"/>
              <w:tabs>
                <w:tab w:val="left" w:pos="1110"/>
              </w:tabs>
              <w:ind w:right="-1260"/>
              <w:rPr>
                <w:rFonts w:ascii="Arial" w:eastAsia="Arial" w:hAnsi="Arial" w:cs="Arial"/>
              </w:rPr>
            </w:pPr>
            <w:r>
              <w:rPr>
                <w:rFonts w:ascii="Arial" w:eastAsia="Arial" w:hAnsi="Arial" w:cs="Arial"/>
              </w:rPr>
              <w:t xml:space="preserve">Page </w:t>
            </w:r>
            <w:r w:rsidR="00BD18F1">
              <w:rPr>
                <w:rFonts w:ascii="Arial" w:eastAsia="Arial" w:hAnsi="Arial" w:cs="Arial"/>
              </w:rPr>
              <w:t>5</w:t>
            </w:r>
          </w:p>
        </w:tc>
      </w:tr>
      <w:tr w:rsidR="0034602B" w14:paraId="16C262F3" w14:textId="77777777">
        <w:trPr>
          <w:jc w:val="center"/>
        </w:trPr>
        <w:tc>
          <w:tcPr>
            <w:tcW w:w="4680" w:type="dxa"/>
          </w:tcPr>
          <w:p w14:paraId="31EA7CAF" w14:textId="77777777" w:rsidR="0034602B" w:rsidRDefault="001B1C9F">
            <w:pPr>
              <w:pStyle w:val="normal0"/>
              <w:ind w:right="-1260"/>
              <w:rPr>
                <w:rFonts w:ascii="Arial" w:eastAsia="Arial" w:hAnsi="Arial" w:cs="Arial"/>
                <w:b/>
              </w:rPr>
            </w:pPr>
            <w:r>
              <w:rPr>
                <w:rFonts w:ascii="Arial" w:eastAsia="Arial" w:hAnsi="Arial" w:cs="Arial"/>
                <w:b/>
              </w:rPr>
              <w:t>Supplemental Figure S3</w:t>
            </w:r>
          </w:p>
        </w:tc>
        <w:tc>
          <w:tcPr>
            <w:tcW w:w="1710" w:type="dxa"/>
          </w:tcPr>
          <w:p w14:paraId="0BBE1899" w14:textId="77777777" w:rsidR="0034602B" w:rsidRDefault="001B1C9F">
            <w:pPr>
              <w:pStyle w:val="normal0"/>
              <w:tabs>
                <w:tab w:val="left" w:pos="750"/>
              </w:tabs>
              <w:ind w:right="-1260"/>
              <w:rPr>
                <w:rFonts w:ascii="Arial" w:eastAsia="Arial" w:hAnsi="Arial" w:cs="Arial"/>
              </w:rPr>
            </w:pPr>
            <w:r>
              <w:rPr>
                <w:rFonts w:ascii="Arial" w:eastAsia="Arial" w:hAnsi="Arial" w:cs="Arial"/>
              </w:rPr>
              <w:t xml:space="preserve">Page </w:t>
            </w:r>
            <w:r w:rsidR="00BD18F1">
              <w:rPr>
                <w:rFonts w:ascii="Arial" w:eastAsia="Arial" w:hAnsi="Arial" w:cs="Arial"/>
              </w:rPr>
              <w:t>6</w:t>
            </w:r>
          </w:p>
        </w:tc>
      </w:tr>
      <w:tr w:rsidR="0034602B" w14:paraId="6C430BA8" w14:textId="77777777">
        <w:trPr>
          <w:jc w:val="center"/>
        </w:trPr>
        <w:tc>
          <w:tcPr>
            <w:tcW w:w="4680" w:type="dxa"/>
          </w:tcPr>
          <w:p w14:paraId="3A5AD50D" w14:textId="77777777" w:rsidR="0034602B" w:rsidRDefault="001B1C9F">
            <w:pPr>
              <w:pStyle w:val="normal0"/>
              <w:ind w:right="-1260"/>
              <w:rPr>
                <w:rFonts w:ascii="Arial" w:eastAsia="Arial" w:hAnsi="Arial" w:cs="Arial"/>
                <w:b/>
              </w:rPr>
            </w:pPr>
            <w:r>
              <w:rPr>
                <w:rFonts w:ascii="Arial" w:eastAsia="Arial" w:hAnsi="Arial" w:cs="Arial"/>
                <w:b/>
              </w:rPr>
              <w:t>Supplemental Figure S4</w:t>
            </w:r>
          </w:p>
        </w:tc>
        <w:tc>
          <w:tcPr>
            <w:tcW w:w="1710" w:type="dxa"/>
          </w:tcPr>
          <w:p w14:paraId="49AC2638" w14:textId="77777777" w:rsidR="0034602B" w:rsidRDefault="001B1C9F">
            <w:pPr>
              <w:pStyle w:val="normal0"/>
              <w:tabs>
                <w:tab w:val="left" w:pos="525"/>
              </w:tabs>
              <w:ind w:right="-1260"/>
              <w:rPr>
                <w:rFonts w:ascii="Arial" w:eastAsia="Arial" w:hAnsi="Arial" w:cs="Arial"/>
              </w:rPr>
            </w:pPr>
            <w:bookmarkStart w:id="0" w:name="_yca43hnt8hw4" w:colFirst="0" w:colLast="0"/>
            <w:bookmarkEnd w:id="0"/>
            <w:r>
              <w:rPr>
                <w:rFonts w:ascii="Arial" w:eastAsia="Arial" w:hAnsi="Arial" w:cs="Arial"/>
              </w:rPr>
              <w:t xml:space="preserve">Page </w:t>
            </w:r>
            <w:r w:rsidR="00BD18F1">
              <w:rPr>
                <w:rFonts w:ascii="Arial" w:eastAsia="Arial" w:hAnsi="Arial" w:cs="Arial"/>
              </w:rPr>
              <w:t>7</w:t>
            </w:r>
          </w:p>
        </w:tc>
      </w:tr>
      <w:tr w:rsidR="0034602B" w14:paraId="7CAADEF7" w14:textId="77777777">
        <w:trPr>
          <w:jc w:val="center"/>
        </w:trPr>
        <w:tc>
          <w:tcPr>
            <w:tcW w:w="4680" w:type="dxa"/>
          </w:tcPr>
          <w:p w14:paraId="632319A6" w14:textId="77777777" w:rsidR="0034602B" w:rsidRDefault="001B1C9F">
            <w:pPr>
              <w:pStyle w:val="normal0"/>
              <w:ind w:right="-1260"/>
              <w:rPr>
                <w:rFonts w:ascii="Arial" w:eastAsia="Arial" w:hAnsi="Arial" w:cs="Arial"/>
                <w:b/>
              </w:rPr>
            </w:pPr>
            <w:r>
              <w:rPr>
                <w:rFonts w:ascii="Arial" w:eastAsia="Arial" w:hAnsi="Arial" w:cs="Arial"/>
                <w:b/>
              </w:rPr>
              <w:t>Supplemental Figure S5</w:t>
            </w:r>
          </w:p>
        </w:tc>
        <w:tc>
          <w:tcPr>
            <w:tcW w:w="1710" w:type="dxa"/>
          </w:tcPr>
          <w:p w14:paraId="549BEB9E" w14:textId="77777777" w:rsidR="0034602B" w:rsidRDefault="001B1C9F">
            <w:pPr>
              <w:pStyle w:val="normal0"/>
              <w:tabs>
                <w:tab w:val="left" w:pos="525"/>
              </w:tabs>
              <w:ind w:right="-1260"/>
              <w:rPr>
                <w:rFonts w:ascii="Arial" w:eastAsia="Arial" w:hAnsi="Arial" w:cs="Arial"/>
              </w:rPr>
            </w:pPr>
            <w:r>
              <w:rPr>
                <w:rFonts w:ascii="Arial" w:eastAsia="Arial" w:hAnsi="Arial" w:cs="Arial"/>
              </w:rPr>
              <w:t xml:space="preserve">Page </w:t>
            </w:r>
            <w:r w:rsidR="00BD18F1">
              <w:rPr>
                <w:rFonts w:ascii="Arial" w:eastAsia="Arial" w:hAnsi="Arial" w:cs="Arial"/>
              </w:rPr>
              <w:t>8</w:t>
            </w:r>
          </w:p>
        </w:tc>
      </w:tr>
    </w:tbl>
    <w:p w14:paraId="4238B060" w14:textId="77777777" w:rsidR="0034602B" w:rsidRDefault="0034602B">
      <w:pPr>
        <w:pStyle w:val="normal0"/>
        <w:ind w:right="-1260"/>
        <w:jc w:val="center"/>
        <w:rPr>
          <w:rFonts w:ascii="Arial" w:eastAsia="Arial" w:hAnsi="Arial" w:cs="Arial"/>
          <w:b/>
          <w:color w:val="002060"/>
          <w:sz w:val="32"/>
          <w:szCs w:val="32"/>
        </w:rPr>
      </w:pPr>
    </w:p>
    <w:p w14:paraId="13D33C74" w14:textId="77777777" w:rsidR="0034602B" w:rsidRDefault="001B1C9F">
      <w:pPr>
        <w:pStyle w:val="normal0"/>
        <w:rPr>
          <w:b/>
          <w:color w:val="002060"/>
          <w:sz w:val="32"/>
          <w:szCs w:val="32"/>
        </w:rPr>
      </w:pPr>
      <w:r>
        <w:br w:type="page"/>
      </w:r>
    </w:p>
    <w:p w14:paraId="29C2DEFF" w14:textId="77777777" w:rsidR="0034602B" w:rsidRDefault="001B1C9F">
      <w:pPr>
        <w:pStyle w:val="Heading2"/>
        <w:jc w:val="both"/>
        <w:rPr>
          <w:sz w:val="28"/>
          <w:szCs w:val="28"/>
        </w:rPr>
      </w:pPr>
      <w:bookmarkStart w:id="1" w:name="_ygqmjeixdy3e" w:colFirst="0" w:colLast="0"/>
      <w:bookmarkEnd w:id="1"/>
      <w:r>
        <w:rPr>
          <w:rFonts w:ascii="Arial" w:eastAsia="Arial" w:hAnsi="Arial" w:cs="Arial"/>
          <w:color w:val="000000"/>
          <w:sz w:val="24"/>
          <w:szCs w:val="24"/>
        </w:rPr>
        <w:lastRenderedPageBreak/>
        <w:t>Comparing kallisto pseudoalignment and HISAT2 mapping-based quantification of reads to detect differential expression</w:t>
      </w:r>
    </w:p>
    <w:p w14:paraId="33F1A099" w14:textId="4FEEEC73" w:rsidR="0034602B" w:rsidRDefault="001B1C9F">
      <w:pPr>
        <w:pStyle w:val="normal0"/>
        <w:spacing w:line="276" w:lineRule="auto"/>
        <w:jc w:val="both"/>
        <w:rPr>
          <w:rFonts w:ascii="Arial" w:eastAsia="Arial" w:hAnsi="Arial" w:cs="Arial"/>
          <w:sz w:val="22"/>
          <w:szCs w:val="22"/>
        </w:rPr>
      </w:pPr>
      <w:r>
        <w:rPr>
          <w:rFonts w:ascii="Arial" w:eastAsia="Arial" w:hAnsi="Arial" w:cs="Arial"/>
          <w:color w:val="000000"/>
          <w:sz w:val="22"/>
          <w:szCs w:val="22"/>
          <w:highlight w:val="white"/>
        </w:rPr>
        <w:t>We investigated w</w:t>
      </w:r>
      <w:r>
        <w:rPr>
          <w:rFonts w:ascii="Arial" w:eastAsia="Arial" w:hAnsi="Arial" w:cs="Arial"/>
          <w:sz w:val="22"/>
          <w:szCs w:val="22"/>
          <w:highlight w:val="white"/>
        </w:rPr>
        <w:t xml:space="preserve">hether exposure to two common neonicotinoid pesticides affects gene expression </w:t>
      </w:r>
      <w:r>
        <w:rPr>
          <w:rFonts w:ascii="Arial" w:eastAsia="Arial" w:hAnsi="Arial" w:cs="Arial"/>
          <w:color w:val="000000"/>
          <w:sz w:val="22"/>
          <w:szCs w:val="22"/>
          <w:highlight w:val="white"/>
        </w:rPr>
        <w:t xml:space="preserve">amplitude </w:t>
      </w:r>
      <w:r>
        <w:rPr>
          <w:rFonts w:ascii="Arial" w:eastAsia="Arial" w:hAnsi="Arial" w:cs="Arial"/>
          <w:sz w:val="22"/>
          <w:szCs w:val="22"/>
          <w:highlight w:val="white"/>
        </w:rPr>
        <w:t>or</w:t>
      </w:r>
      <w:r>
        <w:rPr>
          <w:rFonts w:ascii="Arial" w:eastAsia="Arial" w:hAnsi="Arial" w:cs="Arial"/>
          <w:color w:val="000000"/>
          <w:sz w:val="22"/>
          <w:szCs w:val="22"/>
          <w:highlight w:val="white"/>
        </w:rPr>
        <w:t xml:space="preserve"> alternative splicing in heads of bumblebee workers and queens. </w:t>
      </w:r>
      <w:r>
        <w:rPr>
          <w:rFonts w:ascii="Arial" w:eastAsia="Arial" w:hAnsi="Arial" w:cs="Arial"/>
          <w:sz w:val="22"/>
          <w:szCs w:val="22"/>
          <w:highlight w:val="white"/>
        </w:rPr>
        <w:t>To</w:t>
      </w:r>
      <w:r>
        <w:rPr>
          <w:rFonts w:ascii="Arial" w:eastAsia="Arial" w:hAnsi="Arial" w:cs="Arial"/>
          <w:color w:val="000000"/>
          <w:sz w:val="22"/>
          <w:szCs w:val="22"/>
          <w:highlight w:val="white"/>
        </w:rPr>
        <w:t xml:space="preserve"> identif</w:t>
      </w:r>
      <w:r>
        <w:rPr>
          <w:rFonts w:ascii="Arial" w:eastAsia="Arial" w:hAnsi="Arial" w:cs="Arial"/>
          <w:sz w:val="22"/>
          <w:szCs w:val="22"/>
          <w:highlight w:val="white"/>
        </w:rPr>
        <w:t>y</w:t>
      </w:r>
      <w:r>
        <w:rPr>
          <w:rFonts w:ascii="Arial" w:eastAsia="Arial" w:hAnsi="Arial" w:cs="Arial"/>
          <w:color w:val="000000"/>
          <w:sz w:val="22"/>
          <w:szCs w:val="22"/>
          <w:highlight w:val="white"/>
        </w:rPr>
        <w:t xml:space="preserve"> differentially expressed transcripts, we first </w:t>
      </w:r>
      <w:r>
        <w:rPr>
          <w:rFonts w:ascii="Arial" w:eastAsia="Arial" w:hAnsi="Arial" w:cs="Arial"/>
          <w:sz w:val="22"/>
          <w:szCs w:val="22"/>
          <w:highlight w:val="white"/>
        </w:rPr>
        <w:t xml:space="preserve">estimated read counts using </w:t>
      </w:r>
      <w:r>
        <w:rPr>
          <w:rFonts w:ascii="Arial" w:eastAsia="Arial" w:hAnsi="Arial" w:cs="Arial"/>
          <w:color w:val="000000"/>
          <w:sz w:val="22"/>
          <w:szCs w:val="22"/>
          <w:highlight w:val="white"/>
        </w:rPr>
        <w:t xml:space="preserve">the </w:t>
      </w:r>
      <w:r>
        <w:rPr>
          <w:rFonts w:ascii="Arial" w:eastAsia="Arial" w:hAnsi="Arial" w:cs="Arial"/>
          <w:i/>
          <w:color w:val="000000"/>
          <w:sz w:val="22"/>
          <w:szCs w:val="22"/>
          <w:highlight w:val="white"/>
        </w:rPr>
        <w:t>k</w:t>
      </w:r>
      <w:r>
        <w:rPr>
          <w:rFonts w:ascii="Arial" w:eastAsia="Arial" w:hAnsi="Arial" w:cs="Arial"/>
          <w:color w:val="000000"/>
          <w:sz w:val="22"/>
          <w:szCs w:val="22"/>
          <w:highlight w:val="white"/>
        </w:rPr>
        <w:t xml:space="preserve">-mer based probabilistic pseudoaligner </w:t>
      </w:r>
      <w:r>
        <w:rPr>
          <w:rFonts w:ascii="Arial" w:eastAsia="Arial" w:hAnsi="Arial" w:cs="Arial"/>
          <w:sz w:val="22"/>
          <w:szCs w:val="22"/>
          <w:highlight w:val="white"/>
        </w:rPr>
        <w:t>k</w:t>
      </w:r>
      <w:r>
        <w:rPr>
          <w:rFonts w:ascii="Arial" w:eastAsia="Arial" w:hAnsi="Arial" w:cs="Arial"/>
          <w:color w:val="000000"/>
          <w:sz w:val="22"/>
          <w:szCs w:val="22"/>
          <w:highlight w:val="white"/>
        </w:rPr>
        <w:t xml:space="preserve">allisto. </w:t>
      </w:r>
      <w:r>
        <w:rPr>
          <w:rFonts w:ascii="Arial" w:eastAsia="Arial" w:hAnsi="Arial" w:cs="Arial"/>
          <w:sz w:val="22"/>
          <w:szCs w:val="22"/>
          <w:highlight w:val="white"/>
        </w:rPr>
        <w:t xml:space="preserve">Kallisto has been cited ~1,000 times since publication in 2016, including to detect differential expression in many high profile biomedical studies (e.g., </w:t>
      </w:r>
      <w:hyperlink r:id="rId8">
        <w:r>
          <w:rPr>
            <w:rFonts w:ascii="Arial" w:eastAsia="Arial" w:hAnsi="Arial" w:cs="Arial"/>
            <w:color w:val="000000"/>
            <w:sz w:val="22"/>
            <w:szCs w:val="22"/>
            <w:highlight w:val="white"/>
          </w:rPr>
          <w:t xml:space="preserve">(Edfors </w:t>
        </w:r>
      </w:hyperlink>
      <w:hyperlink r:id="rId9">
        <w:r>
          <w:rPr>
            <w:rFonts w:ascii="Arial" w:eastAsia="Arial" w:hAnsi="Arial" w:cs="Arial"/>
            <w:i/>
            <w:color w:val="000000"/>
            <w:sz w:val="22"/>
            <w:szCs w:val="22"/>
            <w:highlight w:val="white"/>
          </w:rPr>
          <w:t>et al.</w:t>
        </w:r>
      </w:hyperlink>
      <w:hyperlink r:id="rId10">
        <w:r>
          <w:rPr>
            <w:rFonts w:ascii="Arial" w:eastAsia="Arial" w:hAnsi="Arial" w:cs="Arial"/>
            <w:color w:val="000000"/>
            <w:sz w:val="22"/>
            <w:szCs w:val="22"/>
            <w:highlight w:val="white"/>
          </w:rPr>
          <w:t xml:space="preserve"> 2016; Mukherjee </w:t>
        </w:r>
      </w:hyperlink>
      <w:hyperlink r:id="rId11">
        <w:r>
          <w:rPr>
            <w:rFonts w:ascii="Arial" w:eastAsia="Arial" w:hAnsi="Arial" w:cs="Arial"/>
            <w:i/>
            <w:color w:val="000000"/>
            <w:sz w:val="22"/>
            <w:szCs w:val="22"/>
            <w:highlight w:val="white"/>
          </w:rPr>
          <w:t>et al.</w:t>
        </w:r>
      </w:hyperlink>
      <w:hyperlink r:id="rId12">
        <w:r>
          <w:rPr>
            <w:rFonts w:ascii="Arial" w:eastAsia="Arial" w:hAnsi="Arial" w:cs="Arial"/>
            <w:color w:val="000000"/>
            <w:sz w:val="22"/>
            <w:szCs w:val="22"/>
            <w:highlight w:val="white"/>
          </w:rPr>
          <w:t xml:space="preserve"> 2017; Thul </w:t>
        </w:r>
      </w:hyperlink>
      <w:hyperlink r:id="rId13">
        <w:r>
          <w:rPr>
            <w:rFonts w:ascii="Arial" w:eastAsia="Arial" w:hAnsi="Arial" w:cs="Arial"/>
            <w:i/>
            <w:color w:val="000000"/>
            <w:sz w:val="22"/>
            <w:szCs w:val="22"/>
            <w:highlight w:val="white"/>
          </w:rPr>
          <w:t>et al.</w:t>
        </w:r>
      </w:hyperlink>
      <w:hyperlink r:id="rId14">
        <w:r>
          <w:rPr>
            <w:rFonts w:ascii="Arial" w:eastAsia="Arial" w:hAnsi="Arial" w:cs="Arial"/>
            <w:color w:val="000000"/>
            <w:sz w:val="22"/>
            <w:szCs w:val="22"/>
            <w:highlight w:val="white"/>
          </w:rPr>
          <w:t xml:space="preserve"> 2017; Mumbach </w:t>
        </w:r>
      </w:hyperlink>
      <w:hyperlink r:id="rId15">
        <w:r>
          <w:rPr>
            <w:rFonts w:ascii="Arial" w:eastAsia="Arial" w:hAnsi="Arial" w:cs="Arial"/>
            <w:i/>
            <w:color w:val="000000"/>
            <w:sz w:val="22"/>
            <w:szCs w:val="22"/>
            <w:highlight w:val="white"/>
          </w:rPr>
          <w:t>et al.</w:t>
        </w:r>
      </w:hyperlink>
      <w:hyperlink r:id="rId16">
        <w:r>
          <w:rPr>
            <w:rFonts w:ascii="Arial" w:eastAsia="Arial" w:hAnsi="Arial" w:cs="Arial"/>
            <w:color w:val="000000"/>
            <w:sz w:val="22"/>
            <w:szCs w:val="22"/>
            <w:highlight w:val="white"/>
          </w:rPr>
          <w:t xml:space="preserve"> 2017; Lachmann </w:t>
        </w:r>
      </w:hyperlink>
      <w:hyperlink r:id="rId17">
        <w:r>
          <w:rPr>
            <w:rFonts w:ascii="Arial" w:eastAsia="Arial" w:hAnsi="Arial" w:cs="Arial"/>
            <w:i/>
            <w:color w:val="000000"/>
            <w:sz w:val="22"/>
            <w:szCs w:val="22"/>
            <w:highlight w:val="white"/>
          </w:rPr>
          <w:t>et al.</w:t>
        </w:r>
      </w:hyperlink>
      <w:hyperlink r:id="rId18">
        <w:r>
          <w:rPr>
            <w:rFonts w:ascii="Arial" w:eastAsia="Arial" w:hAnsi="Arial" w:cs="Arial"/>
            <w:color w:val="000000"/>
            <w:sz w:val="22"/>
            <w:szCs w:val="22"/>
            <w:highlight w:val="white"/>
          </w:rPr>
          <w:t xml:space="preserve"> 2018)</w:t>
        </w:r>
      </w:hyperlink>
      <w:r>
        <w:rPr>
          <w:rFonts w:ascii="Arial" w:eastAsia="Arial" w:hAnsi="Arial" w:cs="Arial"/>
          <w:sz w:val="22"/>
          <w:szCs w:val="22"/>
          <w:highlight w:val="white"/>
        </w:rPr>
        <w:t xml:space="preserve">. Importantly, a comparative analysis of RNA-Seq quantification tools demonstrated that pseudoaligners such as kallisto have higher accuracy and consistency in transcript quantification than traditional aligners </w:t>
      </w:r>
      <w:hyperlink r:id="rId19">
        <w:r>
          <w:rPr>
            <w:rFonts w:ascii="Arial" w:eastAsia="Arial" w:hAnsi="Arial" w:cs="Arial"/>
            <w:color w:val="000000"/>
            <w:sz w:val="22"/>
            <w:szCs w:val="22"/>
            <w:highlight w:val="white"/>
          </w:rPr>
          <w:t xml:space="preserve">(Sahraeian </w:t>
        </w:r>
      </w:hyperlink>
      <w:hyperlink r:id="rId20">
        <w:r>
          <w:rPr>
            <w:rFonts w:ascii="Arial" w:eastAsia="Arial" w:hAnsi="Arial" w:cs="Arial"/>
            <w:i/>
            <w:color w:val="000000"/>
            <w:sz w:val="22"/>
            <w:szCs w:val="22"/>
            <w:highlight w:val="white"/>
          </w:rPr>
          <w:t>et al.</w:t>
        </w:r>
      </w:hyperlink>
      <w:hyperlink r:id="rId21">
        <w:r>
          <w:rPr>
            <w:rFonts w:ascii="Arial" w:eastAsia="Arial" w:hAnsi="Arial" w:cs="Arial"/>
            <w:color w:val="000000"/>
            <w:sz w:val="22"/>
            <w:szCs w:val="22"/>
            <w:highlight w:val="white"/>
          </w:rPr>
          <w:t xml:space="preserve"> 2017)</w:t>
        </w:r>
      </w:hyperlink>
      <w:r>
        <w:rPr>
          <w:rFonts w:ascii="Arial" w:eastAsia="Arial" w:hAnsi="Arial" w:cs="Arial"/>
          <w:color w:val="222222"/>
          <w:sz w:val="22"/>
          <w:szCs w:val="22"/>
          <w:highlight w:val="white"/>
        </w:rPr>
        <w:t>.</w:t>
      </w:r>
      <w:r>
        <w:rPr>
          <w:rFonts w:ascii="Arial" w:eastAsia="Arial" w:hAnsi="Arial" w:cs="Arial"/>
          <w:sz w:val="22"/>
          <w:szCs w:val="22"/>
          <w:highlight w:val="white"/>
        </w:rPr>
        <w:t xml:space="preserve"> To detect differential expression based on kallisto estimated counts, we used DESeq2, one of the most widely used packages for such analyses </w:t>
      </w:r>
      <w:hyperlink r:id="rId22">
        <w:r>
          <w:rPr>
            <w:rFonts w:ascii="Arial" w:eastAsia="Arial" w:hAnsi="Arial" w:cs="Arial"/>
            <w:color w:val="000000"/>
            <w:sz w:val="22"/>
            <w:szCs w:val="22"/>
            <w:highlight w:val="white"/>
          </w:rPr>
          <w:t xml:space="preserve">(Love </w:t>
        </w:r>
      </w:hyperlink>
      <w:hyperlink r:id="rId23">
        <w:r>
          <w:rPr>
            <w:rFonts w:ascii="Arial" w:eastAsia="Arial" w:hAnsi="Arial" w:cs="Arial"/>
            <w:i/>
            <w:color w:val="000000"/>
            <w:sz w:val="22"/>
            <w:szCs w:val="22"/>
            <w:highlight w:val="white"/>
          </w:rPr>
          <w:t>et al.</w:t>
        </w:r>
      </w:hyperlink>
      <w:hyperlink r:id="rId24">
        <w:r>
          <w:rPr>
            <w:rFonts w:ascii="Arial" w:eastAsia="Arial" w:hAnsi="Arial" w:cs="Arial"/>
            <w:color w:val="000000"/>
            <w:sz w:val="22"/>
            <w:szCs w:val="22"/>
            <w:highlight w:val="white"/>
          </w:rPr>
          <w:t xml:space="preserve"> 2014</w:t>
        </w:r>
      </w:hyperlink>
      <w:r>
        <w:rPr>
          <w:rFonts w:ascii="Arial" w:eastAsia="Arial" w:hAnsi="Arial" w:cs="Arial"/>
          <w:sz w:val="22"/>
          <w:szCs w:val="22"/>
          <w:highlight w:val="white"/>
        </w:rPr>
        <w:t>; cited &gt;7,000 times). Unfortunately, DESeq2 cannot perform differential exon usage analysis. We thus asked the lead author of DESeq2, Dr. Michael Love what approach he recommends for differential exon usage (</w:t>
      </w:r>
      <w:hyperlink r:id="rId25">
        <w:r>
          <w:rPr>
            <w:rFonts w:ascii="Arial" w:eastAsia="Arial" w:hAnsi="Arial" w:cs="Arial"/>
            <w:sz w:val="22"/>
            <w:szCs w:val="22"/>
            <w:highlight w:val="white"/>
          </w:rPr>
          <w:t>https://support.bioconductor.org/p/108576/</w:t>
        </w:r>
      </w:hyperlink>
      <w:r>
        <w:rPr>
          <w:rFonts w:ascii="Arial" w:eastAsia="Arial" w:hAnsi="Arial" w:cs="Arial"/>
          <w:sz w:val="22"/>
          <w:szCs w:val="22"/>
          <w:highlight w:val="white"/>
        </w:rPr>
        <w:t xml:space="preserve">). We followed his advice to use HISAT2/DEXSeq. Specifically, we used the splice-aware aligner HISAT2 </w:t>
      </w:r>
      <w:hyperlink r:id="rId26">
        <w:r>
          <w:rPr>
            <w:rFonts w:ascii="Arial" w:eastAsia="Arial" w:hAnsi="Arial" w:cs="Arial"/>
            <w:color w:val="000000"/>
            <w:sz w:val="22"/>
            <w:szCs w:val="22"/>
            <w:highlight w:val="white"/>
          </w:rPr>
          <w:t xml:space="preserve">(Kim </w:t>
        </w:r>
      </w:hyperlink>
      <w:hyperlink r:id="rId27">
        <w:r>
          <w:rPr>
            <w:rFonts w:ascii="Arial" w:eastAsia="Arial" w:hAnsi="Arial" w:cs="Arial"/>
            <w:i/>
            <w:color w:val="000000"/>
            <w:sz w:val="22"/>
            <w:szCs w:val="22"/>
            <w:highlight w:val="white"/>
          </w:rPr>
          <w:t>et al.</w:t>
        </w:r>
      </w:hyperlink>
      <w:hyperlink r:id="rId28">
        <w:r>
          <w:rPr>
            <w:rFonts w:ascii="Arial" w:eastAsia="Arial" w:hAnsi="Arial" w:cs="Arial"/>
            <w:color w:val="000000"/>
            <w:sz w:val="22"/>
            <w:szCs w:val="22"/>
            <w:highlight w:val="white"/>
          </w:rPr>
          <w:t xml:space="preserve"> 2015)</w:t>
        </w:r>
      </w:hyperlink>
      <w:r>
        <w:rPr>
          <w:rFonts w:ascii="Arial" w:eastAsia="Arial" w:hAnsi="Arial" w:cs="Arial"/>
          <w:sz w:val="22"/>
          <w:szCs w:val="22"/>
          <w:highlight w:val="white"/>
        </w:rPr>
        <w:t xml:space="preserve"> to align our data against the reference bumblebee genome. From the resulting SAM alignment files, we extracted exon-level read counts using HTSeq </w:t>
      </w:r>
      <w:hyperlink r:id="rId29">
        <w:r>
          <w:rPr>
            <w:rFonts w:ascii="Arial" w:eastAsia="Arial" w:hAnsi="Arial" w:cs="Arial"/>
            <w:color w:val="000000"/>
            <w:sz w:val="22"/>
            <w:szCs w:val="22"/>
            <w:highlight w:val="white"/>
          </w:rPr>
          <w:t xml:space="preserve">(Anders </w:t>
        </w:r>
      </w:hyperlink>
      <w:hyperlink r:id="rId30">
        <w:r>
          <w:rPr>
            <w:rFonts w:ascii="Arial" w:eastAsia="Arial" w:hAnsi="Arial" w:cs="Arial"/>
            <w:i/>
            <w:color w:val="000000"/>
            <w:sz w:val="22"/>
            <w:szCs w:val="22"/>
            <w:highlight w:val="white"/>
          </w:rPr>
          <w:t>et al.</w:t>
        </w:r>
      </w:hyperlink>
      <w:hyperlink r:id="rId31">
        <w:r>
          <w:rPr>
            <w:rFonts w:ascii="Arial" w:eastAsia="Arial" w:hAnsi="Arial" w:cs="Arial"/>
            <w:color w:val="000000"/>
            <w:sz w:val="22"/>
            <w:szCs w:val="22"/>
            <w:highlight w:val="white"/>
          </w:rPr>
          <w:t xml:space="preserve"> 2015)</w:t>
        </w:r>
      </w:hyperlink>
      <w:r>
        <w:rPr>
          <w:rFonts w:ascii="Arial" w:eastAsia="Arial" w:hAnsi="Arial" w:cs="Arial"/>
          <w:sz w:val="22"/>
          <w:szCs w:val="22"/>
          <w:highlight w:val="white"/>
        </w:rPr>
        <w:t xml:space="preserve">. We finally provided these counts to DEXSeq </w:t>
      </w:r>
      <w:hyperlink r:id="rId32">
        <w:r>
          <w:rPr>
            <w:rFonts w:ascii="Arial" w:eastAsia="Arial" w:hAnsi="Arial" w:cs="Arial"/>
            <w:color w:val="000000"/>
            <w:sz w:val="22"/>
            <w:szCs w:val="22"/>
            <w:highlight w:val="white"/>
          </w:rPr>
          <w:t xml:space="preserve">(Reyes </w:t>
        </w:r>
      </w:hyperlink>
      <w:hyperlink r:id="rId33">
        <w:r>
          <w:rPr>
            <w:rFonts w:ascii="Arial" w:eastAsia="Arial" w:hAnsi="Arial" w:cs="Arial"/>
            <w:i/>
            <w:color w:val="000000"/>
            <w:sz w:val="22"/>
            <w:szCs w:val="22"/>
            <w:highlight w:val="white"/>
          </w:rPr>
          <w:t>et al.</w:t>
        </w:r>
      </w:hyperlink>
      <w:hyperlink r:id="rId34">
        <w:r>
          <w:rPr>
            <w:rFonts w:ascii="Arial" w:eastAsia="Arial" w:hAnsi="Arial" w:cs="Arial"/>
            <w:color w:val="000000"/>
            <w:sz w:val="22"/>
            <w:szCs w:val="22"/>
            <w:highlight w:val="white"/>
          </w:rPr>
          <w:t xml:space="preserve"> 2013)</w:t>
        </w:r>
      </w:hyperlink>
      <w:r>
        <w:rPr>
          <w:rFonts w:ascii="Arial" w:eastAsia="Arial" w:hAnsi="Arial" w:cs="Arial"/>
          <w:sz w:val="22"/>
          <w:szCs w:val="22"/>
          <w:highlight w:val="white"/>
        </w:rPr>
        <w:t xml:space="preserve"> to detect differential exon usage.</w:t>
      </w:r>
    </w:p>
    <w:p w14:paraId="57AADDC1" w14:textId="7AF314CC" w:rsidR="0034602B" w:rsidRDefault="001B1C9F">
      <w:pPr>
        <w:pStyle w:val="normal0"/>
        <w:spacing w:after="200"/>
        <w:jc w:val="both"/>
        <w:rPr>
          <w:rFonts w:ascii="Arial" w:eastAsia="Arial" w:hAnsi="Arial" w:cs="Arial"/>
          <w:b/>
          <w:sz w:val="22"/>
          <w:szCs w:val="22"/>
          <w:highlight w:val="white"/>
        </w:rPr>
      </w:pPr>
      <w:r>
        <w:rPr>
          <w:rFonts w:ascii="Arial" w:eastAsia="Arial" w:hAnsi="Arial" w:cs="Arial"/>
          <w:color w:val="000000"/>
          <w:sz w:val="22"/>
          <w:szCs w:val="22"/>
          <w:highlight w:val="white"/>
        </w:rPr>
        <w:t xml:space="preserve">As a </w:t>
      </w:r>
      <w:r>
        <w:rPr>
          <w:rFonts w:ascii="Arial" w:eastAsia="Arial" w:hAnsi="Arial" w:cs="Arial"/>
          <w:sz w:val="22"/>
          <w:szCs w:val="22"/>
          <w:highlight w:val="white"/>
        </w:rPr>
        <w:t xml:space="preserve">measure of confidence to determine whether our differential expression amplitude results are robust to analytical approach, we performed a redundant analysis using </w:t>
      </w:r>
      <w:r>
        <w:rPr>
          <w:rFonts w:ascii="Arial" w:eastAsia="Arial" w:hAnsi="Arial" w:cs="Arial"/>
          <w:color w:val="000000"/>
          <w:sz w:val="22"/>
          <w:szCs w:val="22"/>
          <w:highlight w:val="white"/>
        </w:rPr>
        <w:t xml:space="preserve">gene-level read counts extracted using HTSeq from HISAT2-aligned SAM files. </w:t>
      </w:r>
      <w:r>
        <w:rPr>
          <w:rFonts w:ascii="Arial" w:eastAsia="Arial" w:hAnsi="Arial" w:cs="Arial"/>
          <w:sz w:val="22"/>
          <w:szCs w:val="22"/>
          <w:highlight w:val="white"/>
        </w:rPr>
        <w:t xml:space="preserve">Similarly to the kallisto-based analysis, we </w:t>
      </w:r>
      <w:r>
        <w:rPr>
          <w:rFonts w:ascii="Arial" w:eastAsia="Arial" w:hAnsi="Arial" w:cs="Arial"/>
          <w:color w:val="000000"/>
          <w:sz w:val="22"/>
          <w:szCs w:val="22"/>
          <w:highlight w:val="white"/>
        </w:rPr>
        <w:t xml:space="preserve">used these counts as input </w:t>
      </w:r>
      <w:r>
        <w:rPr>
          <w:rFonts w:ascii="Arial" w:eastAsia="Arial" w:hAnsi="Arial" w:cs="Arial"/>
          <w:sz w:val="22"/>
          <w:szCs w:val="22"/>
          <w:highlight w:val="white"/>
        </w:rPr>
        <w:t>for</w:t>
      </w:r>
      <w:r>
        <w:rPr>
          <w:rFonts w:ascii="Arial" w:eastAsia="Arial" w:hAnsi="Arial" w:cs="Arial"/>
          <w:color w:val="000000"/>
          <w:sz w:val="22"/>
          <w:szCs w:val="22"/>
          <w:highlight w:val="white"/>
        </w:rPr>
        <w:t xml:space="preserve"> DESeq2 to identify differentially expressed genes. We compared </w:t>
      </w:r>
      <w:r>
        <w:rPr>
          <w:rFonts w:ascii="Arial" w:eastAsia="Arial" w:hAnsi="Arial" w:cs="Arial"/>
          <w:sz w:val="22"/>
          <w:szCs w:val="22"/>
          <w:highlight w:val="white"/>
        </w:rPr>
        <w:t>findings of the two approaches at three levels: general trends of relative magnitudes of gene expression, specific genes identified, and Gene Ontology categories. For all three levels, we found</w:t>
      </w:r>
      <w:r w:rsidR="00C928EA">
        <w:rPr>
          <w:rFonts w:ascii="Arial" w:eastAsia="Arial" w:hAnsi="Arial" w:cs="Arial"/>
          <w:sz w:val="22"/>
          <w:szCs w:val="22"/>
          <w:highlight w:val="white"/>
        </w:rPr>
        <w:t xml:space="preserve"> that the kallisto- and HISAT2-</w:t>
      </w:r>
      <w:r>
        <w:rPr>
          <w:rFonts w:ascii="Arial" w:eastAsia="Arial" w:hAnsi="Arial" w:cs="Arial"/>
          <w:sz w:val="22"/>
          <w:szCs w:val="22"/>
          <w:highlight w:val="white"/>
        </w:rPr>
        <w:t>based approaches gave highly similar results. We provide details for each comparison below.</w:t>
      </w:r>
    </w:p>
    <w:p w14:paraId="510A1C97" w14:textId="6579F71D" w:rsidR="0034602B" w:rsidRDefault="001B1C9F">
      <w:pPr>
        <w:pStyle w:val="normal0"/>
        <w:spacing w:after="200"/>
        <w:jc w:val="both"/>
        <w:rPr>
          <w:rFonts w:ascii="Arial" w:eastAsia="Arial" w:hAnsi="Arial" w:cs="Arial"/>
          <w:sz w:val="22"/>
          <w:szCs w:val="22"/>
          <w:highlight w:val="white"/>
        </w:rPr>
      </w:pPr>
      <w:r>
        <w:rPr>
          <w:rFonts w:ascii="Arial" w:eastAsia="Arial" w:hAnsi="Arial" w:cs="Arial"/>
          <w:b/>
          <w:sz w:val="22"/>
          <w:szCs w:val="22"/>
          <w:highlight w:val="white"/>
        </w:rPr>
        <w:t xml:space="preserve">Overall trends: </w:t>
      </w:r>
      <w:r>
        <w:rPr>
          <w:rFonts w:ascii="Arial" w:eastAsia="Arial" w:hAnsi="Arial" w:cs="Arial"/>
          <w:sz w:val="22"/>
          <w:szCs w:val="22"/>
          <w:highlight w:val="white"/>
        </w:rPr>
        <w:t>Similar to the kallisto-based analysis, the HISAT2-based approach identified caste- and pesticide-specific effects of treatments, with clothianidin having stronger effects on gene expression amplitudes than imidacloprid. Furthermore, in response to clothianidin exposure, we find stronger effects on workers (n = 60 differentially expressed genes) than on queens (n = 18), in line with our kallisto-based analysis. The HISAT2-based approach found no effects of imidacloprid exposure on g</w:t>
      </w:r>
      <w:r w:rsidR="00C928EA">
        <w:rPr>
          <w:rFonts w:ascii="Arial" w:eastAsia="Arial" w:hAnsi="Arial" w:cs="Arial"/>
          <w:sz w:val="22"/>
          <w:szCs w:val="22"/>
          <w:highlight w:val="white"/>
        </w:rPr>
        <w:t>ene expression in either caste.</w:t>
      </w:r>
    </w:p>
    <w:p w14:paraId="0BF7A0C7" w14:textId="47144ECC" w:rsidR="0034602B" w:rsidRDefault="001B1C9F">
      <w:pPr>
        <w:pStyle w:val="normal0"/>
        <w:jc w:val="both"/>
        <w:rPr>
          <w:rFonts w:ascii="Arial" w:eastAsia="Arial" w:hAnsi="Arial" w:cs="Arial"/>
          <w:sz w:val="22"/>
          <w:szCs w:val="22"/>
          <w:highlight w:val="white"/>
        </w:rPr>
      </w:pPr>
      <w:r>
        <w:rPr>
          <w:rFonts w:ascii="Arial" w:eastAsia="Arial" w:hAnsi="Arial" w:cs="Arial"/>
          <w:b/>
          <w:sz w:val="22"/>
          <w:szCs w:val="22"/>
          <w:highlight w:val="white"/>
        </w:rPr>
        <w:t xml:space="preserve">Specific Genes: </w:t>
      </w:r>
      <w:r>
        <w:rPr>
          <w:rFonts w:ascii="Arial" w:eastAsia="Arial" w:hAnsi="Arial" w:cs="Arial"/>
          <w:sz w:val="22"/>
          <w:szCs w:val="22"/>
          <w:highlight w:val="white"/>
        </w:rPr>
        <w:t>88% of the 17 genes identified as differentially expressed in clothianidin-exposed queens using the kallisto approach were also significant in the HISAT2-based analysis (see Euler Diagram in Supp. Fig. S4(A</w:t>
      </w:r>
      <w:r w:rsidR="00C928EA">
        <w:rPr>
          <w:rFonts w:ascii="Arial" w:eastAsia="Arial" w:hAnsi="Arial" w:cs="Arial"/>
          <w:sz w:val="22"/>
          <w:szCs w:val="22"/>
          <w:highlight w:val="white"/>
        </w:rPr>
        <w:t xml:space="preserve">)). Similarly, 80% of the 55 </w:t>
      </w:r>
      <w:r>
        <w:rPr>
          <w:rFonts w:ascii="Arial" w:eastAsia="Arial" w:hAnsi="Arial" w:cs="Arial"/>
          <w:sz w:val="22"/>
          <w:szCs w:val="22"/>
          <w:highlight w:val="white"/>
        </w:rPr>
        <w:t>genes identified as differentially expressed in clothianidin-exposed workers using the kallisto-based approach were also significant in the HISAT2-based analysis (</w:t>
      </w:r>
      <w:r w:rsidR="00C928EA">
        <w:rPr>
          <w:rFonts w:ascii="Arial" w:eastAsia="Arial" w:hAnsi="Arial" w:cs="Arial"/>
          <w:sz w:val="22"/>
          <w:szCs w:val="22"/>
          <w:highlight w:val="white"/>
        </w:rPr>
        <w:t xml:space="preserve">see Euler Diagram in </w:t>
      </w:r>
      <w:r>
        <w:rPr>
          <w:rFonts w:ascii="Arial" w:eastAsia="Arial" w:hAnsi="Arial" w:cs="Arial"/>
          <w:sz w:val="22"/>
          <w:szCs w:val="22"/>
          <w:highlight w:val="white"/>
        </w:rPr>
        <w:t>Supp. Fig. S4(B)).</w:t>
      </w:r>
    </w:p>
    <w:p w14:paraId="35DFB68E" w14:textId="77777777" w:rsidR="0034602B" w:rsidRDefault="001B1C9F">
      <w:pPr>
        <w:pStyle w:val="normal0"/>
        <w:spacing w:after="200"/>
        <w:jc w:val="both"/>
        <w:rPr>
          <w:rFonts w:ascii="Arial" w:eastAsia="Arial" w:hAnsi="Arial" w:cs="Arial"/>
          <w:sz w:val="22"/>
          <w:szCs w:val="22"/>
          <w:highlight w:val="white"/>
        </w:rPr>
      </w:pPr>
      <w:r>
        <w:rPr>
          <w:rFonts w:ascii="Arial" w:eastAsia="Arial" w:hAnsi="Arial" w:cs="Arial"/>
          <w:sz w:val="22"/>
          <w:szCs w:val="22"/>
          <w:highlight w:val="white"/>
        </w:rPr>
        <w:t xml:space="preserve">Some of the genes detected as differentially expressed using the kallisto-based approach are explicitly mentioned in the Results or Discussion text. </w:t>
      </w:r>
      <w:r>
        <w:rPr>
          <w:rFonts w:ascii="Arial" w:eastAsia="Arial" w:hAnsi="Arial" w:cs="Arial"/>
          <w:color w:val="000000"/>
          <w:sz w:val="22"/>
          <w:szCs w:val="22"/>
          <w:highlight w:val="white"/>
        </w:rPr>
        <w:t>Here</w:t>
      </w:r>
      <w:r>
        <w:rPr>
          <w:rFonts w:ascii="Arial" w:eastAsia="Arial" w:hAnsi="Arial" w:cs="Arial"/>
          <w:sz w:val="22"/>
          <w:szCs w:val="22"/>
          <w:highlight w:val="white"/>
        </w:rPr>
        <w:t>, for each of these genes, we indicate significance levels in the HISAT2-based analysis.</w:t>
      </w:r>
    </w:p>
    <w:p w14:paraId="626B2B44" w14:textId="77777777" w:rsidR="00BD18F1" w:rsidRDefault="00BD18F1">
      <w:pPr>
        <w:rPr>
          <w:rFonts w:ascii="Arial" w:eastAsia="Arial" w:hAnsi="Arial" w:cs="Arial"/>
          <w:sz w:val="22"/>
          <w:szCs w:val="22"/>
          <w:highlight w:val="white"/>
        </w:rPr>
      </w:pPr>
      <w:r>
        <w:rPr>
          <w:rFonts w:ascii="Arial" w:eastAsia="Arial" w:hAnsi="Arial" w:cs="Arial"/>
          <w:sz w:val="22"/>
          <w:szCs w:val="22"/>
          <w:highlight w:val="white"/>
        </w:rPr>
        <w:br w:type="page"/>
      </w:r>
    </w:p>
    <w:p w14:paraId="4467CD0F" w14:textId="688051A8" w:rsidR="0034602B" w:rsidRDefault="00C928EA">
      <w:pPr>
        <w:pStyle w:val="normal0"/>
        <w:jc w:val="both"/>
        <w:rPr>
          <w:rFonts w:ascii="Arial" w:eastAsia="Arial" w:hAnsi="Arial" w:cs="Arial"/>
          <w:sz w:val="22"/>
          <w:szCs w:val="22"/>
          <w:highlight w:val="white"/>
        </w:rPr>
      </w:pPr>
      <w:r>
        <w:rPr>
          <w:rFonts w:ascii="Arial" w:eastAsia="Arial" w:hAnsi="Arial" w:cs="Arial"/>
          <w:sz w:val="22"/>
          <w:szCs w:val="22"/>
          <w:highlight w:val="white"/>
        </w:rPr>
        <w:lastRenderedPageBreak/>
        <w:t>In the Results:</w:t>
      </w:r>
    </w:p>
    <w:p w14:paraId="5D328DDE" w14:textId="77777777" w:rsidR="0034602B" w:rsidRDefault="001B1C9F">
      <w:pPr>
        <w:pStyle w:val="normal0"/>
        <w:numPr>
          <w:ilvl w:val="0"/>
          <w:numId w:val="2"/>
        </w:numPr>
        <w:jc w:val="both"/>
        <w:rPr>
          <w:rFonts w:ascii="Arial" w:eastAsia="Arial" w:hAnsi="Arial" w:cs="Arial"/>
          <w:sz w:val="22"/>
          <w:szCs w:val="22"/>
        </w:rPr>
      </w:pPr>
      <w:r>
        <w:rPr>
          <w:rFonts w:ascii="Arial" w:eastAsia="Arial" w:hAnsi="Arial" w:cs="Arial"/>
          <w:sz w:val="22"/>
          <w:szCs w:val="22"/>
          <w:highlight w:val="white"/>
        </w:rPr>
        <w:t>The</w:t>
      </w:r>
      <w:r>
        <w:rPr>
          <w:rFonts w:ascii="Arial" w:eastAsia="Arial" w:hAnsi="Arial" w:cs="Arial"/>
          <w:color w:val="000000"/>
          <w:sz w:val="22"/>
          <w:szCs w:val="22"/>
          <w:highlight w:val="white"/>
        </w:rPr>
        <w:t xml:space="preserve"> eight genes </w:t>
      </w:r>
      <w:r>
        <w:rPr>
          <w:rFonts w:ascii="Arial" w:eastAsia="Arial" w:hAnsi="Arial" w:cs="Arial"/>
          <w:sz w:val="22"/>
          <w:szCs w:val="22"/>
          <w:highlight w:val="white"/>
        </w:rPr>
        <w:t xml:space="preserve">mentioned </w:t>
      </w:r>
      <w:r>
        <w:rPr>
          <w:rFonts w:ascii="Arial" w:eastAsia="Arial" w:hAnsi="Arial" w:cs="Arial"/>
          <w:color w:val="000000"/>
          <w:sz w:val="22"/>
          <w:szCs w:val="22"/>
          <w:highlight w:val="white"/>
        </w:rPr>
        <w:t xml:space="preserve">as being differentially expressed only </w:t>
      </w:r>
      <w:r>
        <w:rPr>
          <w:rFonts w:ascii="Arial" w:eastAsia="Arial" w:hAnsi="Arial" w:cs="Arial"/>
          <w:sz w:val="22"/>
          <w:szCs w:val="22"/>
          <w:highlight w:val="white"/>
        </w:rPr>
        <w:t>after</w:t>
      </w:r>
      <w:r>
        <w:rPr>
          <w:rFonts w:ascii="Arial" w:eastAsia="Arial" w:hAnsi="Arial" w:cs="Arial"/>
          <w:color w:val="000000"/>
          <w:sz w:val="22"/>
          <w:szCs w:val="22"/>
          <w:highlight w:val="white"/>
        </w:rPr>
        <w:t xml:space="preserve"> c</w:t>
      </w:r>
      <w:r>
        <w:rPr>
          <w:rFonts w:ascii="Arial" w:eastAsia="Arial" w:hAnsi="Arial" w:cs="Arial"/>
          <w:sz w:val="22"/>
          <w:szCs w:val="22"/>
          <w:highlight w:val="white"/>
        </w:rPr>
        <w:t>lothianidin exposure were detected using both approaches</w:t>
      </w:r>
      <w:r>
        <w:rPr>
          <w:rFonts w:ascii="Arial" w:eastAsia="Arial" w:hAnsi="Arial" w:cs="Arial"/>
          <w:sz w:val="22"/>
          <w:szCs w:val="22"/>
        </w:rPr>
        <w:t>.</w:t>
      </w:r>
    </w:p>
    <w:p w14:paraId="77795A2F" w14:textId="77777777" w:rsidR="0034602B" w:rsidRDefault="001B1C9F">
      <w:pPr>
        <w:pStyle w:val="normal0"/>
        <w:numPr>
          <w:ilvl w:val="0"/>
          <w:numId w:val="2"/>
        </w:numPr>
        <w:shd w:val="clear" w:color="auto" w:fill="FFFFFF"/>
        <w:jc w:val="both"/>
        <w:rPr>
          <w:rFonts w:ascii="Arial" w:eastAsia="Arial" w:hAnsi="Arial" w:cs="Arial"/>
          <w:sz w:val="22"/>
          <w:szCs w:val="22"/>
        </w:rPr>
      </w:pPr>
      <w:r>
        <w:rPr>
          <w:rFonts w:ascii="Arial" w:eastAsia="Arial" w:hAnsi="Arial" w:cs="Arial"/>
          <w:sz w:val="22"/>
          <w:szCs w:val="22"/>
        </w:rPr>
        <w:t xml:space="preserve">However, </w:t>
      </w:r>
      <w:r>
        <w:rPr>
          <w:rFonts w:ascii="Arial" w:eastAsia="Arial" w:hAnsi="Arial" w:cs="Arial"/>
          <w:sz w:val="22"/>
          <w:szCs w:val="22"/>
          <w:highlight w:val="white"/>
        </w:rPr>
        <w:t xml:space="preserve">one additional gene (LOC100644101) which was differentially expressed in workers in response to both pesticides in the kallisto-based analysis was only identified as significantly differentially expressed in clothianidin-exposed workers by the HISAT2-based approach. The effect of imidacloprid on this gene was marginally non-significant (BH adjusted </w:t>
      </w:r>
      <w:r>
        <w:rPr>
          <w:rFonts w:ascii="Arial" w:eastAsia="Arial" w:hAnsi="Arial" w:cs="Arial"/>
          <w:i/>
          <w:sz w:val="22"/>
          <w:szCs w:val="22"/>
          <w:highlight w:val="white"/>
        </w:rPr>
        <w:t>p-</w:t>
      </w:r>
      <w:r>
        <w:rPr>
          <w:rFonts w:ascii="Arial" w:eastAsia="Arial" w:hAnsi="Arial" w:cs="Arial"/>
          <w:sz w:val="22"/>
          <w:szCs w:val="22"/>
          <w:highlight w:val="white"/>
        </w:rPr>
        <w:t>value = 0.072) using the HISAT2-based approach.</w:t>
      </w:r>
    </w:p>
    <w:p w14:paraId="0585A36E" w14:textId="77777777" w:rsidR="0034602B" w:rsidRDefault="001B1C9F">
      <w:pPr>
        <w:pStyle w:val="normal0"/>
        <w:shd w:val="clear" w:color="auto" w:fill="FFFFFF"/>
        <w:spacing w:before="200"/>
        <w:jc w:val="both"/>
        <w:rPr>
          <w:rFonts w:ascii="Arial" w:eastAsia="Arial" w:hAnsi="Arial" w:cs="Arial"/>
          <w:sz w:val="22"/>
          <w:szCs w:val="22"/>
          <w:highlight w:val="white"/>
        </w:rPr>
      </w:pPr>
      <w:r>
        <w:rPr>
          <w:rFonts w:ascii="Arial" w:eastAsia="Arial" w:hAnsi="Arial" w:cs="Arial"/>
          <w:sz w:val="22"/>
          <w:szCs w:val="22"/>
          <w:highlight w:val="white"/>
        </w:rPr>
        <w:t xml:space="preserve">In the Discussion: </w:t>
      </w:r>
    </w:p>
    <w:p w14:paraId="72DB6B3B" w14:textId="77777777" w:rsidR="0034602B" w:rsidRDefault="001B1C9F">
      <w:pPr>
        <w:pStyle w:val="normal0"/>
        <w:numPr>
          <w:ilvl w:val="0"/>
          <w:numId w:val="1"/>
        </w:numPr>
        <w:shd w:val="clear" w:color="auto" w:fill="FFFFFF"/>
        <w:jc w:val="both"/>
        <w:rPr>
          <w:rFonts w:ascii="Arial" w:eastAsia="Arial" w:hAnsi="Arial" w:cs="Arial"/>
          <w:sz w:val="22"/>
          <w:szCs w:val="22"/>
          <w:highlight w:val="white"/>
        </w:rPr>
      </w:pPr>
      <w:r>
        <w:rPr>
          <w:rFonts w:ascii="Arial" w:eastAsia="Arial" w:hAnsi="Arial" w:cs="Arial"/>
          <w:sz w:val="22"/>
          <w:szCs w:val="22"/>
          <w:highlight w:val="white"/>
        </w:rPr>
        <w:t>Two of the genes mentioned by name (</w:t>
      </w:r>
      <w:r>
        <w:rPr>
          <w:rFonts w:ascii="Arial" w:eastAsia="Arial" w:hAnsi="Arial" w:cs="Arial"/>
          <w:i/>
          <w:sz w:val="22"/>
          <w:szCs w:val="22"/>
          <w:highlight w:val="white"/>
        </w:rPr>
        <w:t>alanine-glyoxylate aminotransferase</w:t>
      </w:r>
      <w:r>
        <w:rPr>
          <w:rFonts w:ascii="Arial" w:eastAsia="Arial" w:hAnsi="Arial" w:cs="Arial"/>
          <w:sz w:val="22"/>
          <w:szCs w:val="22"/>
          <w:highlight w:val="white"/>
        </w:rPr>
        <w:t xml:space="preserve">: LOC100650318 and </w:t>
      </w:r>
      <w:r>
        <w:rPr>
          <w:rFonts w:ascii="Arial" w:eastAsia="Arial" w:hAnsi="Arial" w:cs="Arial"/>
          <w:i/>
          <w:sz w:val="22"/>
          <w:szCs w:val="22"/>
          <w:highlight w:val="white"/>
        </w:rPr>
        <w:t>alanine-glyoxylate aminotransferase</w:t>
      </w:r>
      <w:r>
        <w:rPr>
          <w:rFonts w:ascii="Arial" w:eastAsia="Arial" w:hAnsi="Arial" w:cs="Arial"/>
          <w:sz w:val="22"/>
          <w:szCs w:val="22"/>
          <w:highlight w:val="white"/>
        </w:rPr>
        <w:t>: LOC100631088) were differentially expressed according to both approaches.</w:t>
      </w:r>
    </w:p>
    <w:p w14:paraId="66ADA015" w14:textId="77777777" w:rsidR="0034602B" w:rsidRDefault="001B1C9F">
      <w:pPr>
        <w:pStyle w:val="normal0"/>
        <w:numPr>
          <w:ilvl w:val="0"/>
          <w:numId w:val="1"/>
        </w:numPr>
        <w:shd w:val="clear" w:color="auto" w:fill="FFFFFF"/>
        <w:jc w:val="both"/>
        <w:rPr>
          <w:rFonts w:ascii="Arial" w:eastAsia="Arial" w:hAnsi="Arial" w:cs="Arial"/>
          <w:sz w:val="22"/>
          <w:szCs w:val="22"/>
          <w:highlight w:val="white"/>
        </w:rPr>
      </w:pPr>
      <w:r>
        <w:rPr>
          <w:rFonts w:ascii="Arial" w:eastAsia="Arial" w:hAnsi="Arial" w:cs="Arial"/>
          <w:sz w:val="22"/>
          <w:szCs w:val="22"/>
          <w:highlight w:val="white"/>
        </w:rPr>
        <w:t xml:space="preserve">Of the three putative cytochrome P450 genes discussed, two (LOC100652170; LOC100649441) were detected as differentially expressed by both approaches while one gene (LOC100648391) was identified as non-significant (BH adjusted </w:t>
      </w:r>
      <w:r>
        <w:rPr>
          <w:rFonts w:ascii="Arial" w:eastAsia="Arial" w:hAnsi="Arial" w:cs="Arial"/>
          <w:i/>
          <w:sz w:val="22"/>
          <w:szCs w:val="22"/>
          <w:highlight w:val="white"/>
        </w:rPr>
        <w:t>p</w:t>
      </w:r>
      <w:r>
        <w:rPr>
          <w:rFonts w:ascii="Arial" w:eastAsia="Arial" w:hAnsi="Arial" w:cs="Arial"/>
          <w:sz w:val="22"/>
          <w:szCs w:val="22"/>
          <w:highlight w:val="white"/>
        </w:rPr>
        <w:t>-value</w:t>
      </w:r>
      <w:r>
        <w:rPr>
          <w:rFonts w:ascii="Arial" w:eastAsia="Arial" w:hAnsi="Arial" w:cs="Arial"/>
          <w:i/>
          <w:sz w:val="22"/>
          <w:szCs w:val="22"/>
          <w:highlight w:val="white"/>
        </w:rPr>
        <w:t xml:space="preserve"> </w:t>
      </w:r>
      <w:r>
        <w:rPr>
          <w:rFonts w:ascii="Arial" w:eastAsia="Arial" w:hAnsi="Arial" w:cs="Arial"/>
          <w:sz w:val="22"/>
          <w:szCs w:val="22"/>
          <w:highlight w:val="white"/>
        </w:rPr>
        <w:t xml:space="preserve"> = 0.176) by the HISAT2-based approach.</w:t>
      </w:r>
    </w:p>
    <w:p w14:paraId="2DE323F7" w14:textId="65585E75" w:rsidR="0034602B" w:rsidRDefault="001B1C9F">
      <w:pPr>
        <w:pStyle w:val="normal0"/>
        <w:numPr>
          <w:ilvl w:val="0"/>
          <w:numId w:val="1"/>
        </w:numPr>
        <w:shd w:val="clear" w:color="auto" w:fill="FFFFFF"/>
        <w:jc w:val="both"/>
        <w:rPr>
          <w:rFonts w:ascii="Arial" w:eastAsia="Arial" w:hAnsi="Arial" w:cs="Arial"/>
          <w:sz w:val="22"/>
          <w:szCs w:val="22"/>
          <w:highlight w:val="white"/>
        </w:rPr>
      </w:pPr>
      <w:r>
        <w:rPr>
          <w:rFonts w:ascii="Arial" w:eastAsia="Arial" w:hAnsi="Arial" w:cs="Arial"/>
          <w:sz w:val="22"/>
          <w:szCs w:val="22"/>
          <w:highlight w:val="white"/>
        </w:rPr>
        <w:t>Among the six genes we discuss as being affected by other pesticides in other studies, four were significant in both analyses, while the remaining two genes were marginally non-significant in the HISAT2-based analysis (</w:t>
      </w:r>
      <w:r>
        <w:rPr>
          <w:rFonts w:ascii="Arial" w:eastAsia="Arial" w:hAnsi="Arial" w:cs="Arial"/>
          <w:i/>
          <w:sz w:val="22"/>
          <w:szCs w:val="22"/>
          <w:highlight w:val="white"/>
        </w:rPr>
        <w:t>calponin</w:t>
      </w:r>
      <w:r>
        <w:rPr>
          <w:rFonts w:ascii="Arial" w:eastAsia="Arial" w:hAnsi="Arial" w:cs="Arial"/>
          <w:sz w:val="22"/>
          <w:szCs w:val="22"/>
          <w:highlight w:val="white"/>
        </w:rPr>
        <w:t xml:space="preserve">, BH adjusted </w:t>
      </w:r>
      <w:r>
        <w:rPr>
          <w:rFonts w:ascii="Arial" w:eastAsia="Arial" w:hAnsi="Arial" w:cs="Arial"/>
          <w:i/>
          <w:sz w:val="22"/>
          <w:szCs w:val="22"/>
          <w:highlight w:val="white"/>
        </w:rPr>
        <w:t>p-</w:t>
      </w:r>
      <w:r>
        <w:rPr>
          <w:rFonts w:ascii="Arial" w:eastAsia="Arial" w:hAnsi="Arial" w:cs="Arial"/>
          <w:sz w:val="22"/>
          <w:szCs w:val="22"/>
          <w:highlight w:val="white"/>
        </w:rPr>
        <w:t xml:space="preserve">value = 0.06; </w:t>
      </w:r>
      <w:r>
        <w:rPr>
          <w:rFonts w:ascii="Arial" w:eastAsia="Arial" w:hAnsi="Arial" w:cs="Arial"/>
          <w:i/>
          <w:sz w:val="22"/>
          <w:szCs w:val="22"/>
          <w:highlight w:val="white"/>
        </w:rPr>
        <w:t>hexosaminidase D</w:t>
      </w:r>
      <w:r>
        <w:rPr>
          <w:rFonts w:ascii="Arial" w:eastAsia="Arial" w:hAnsi="Arial" w:cs="Arial"/>
          <w:sz w:val="22"/>
          <w:szCs w:val="22"/>
          <w:highlight w:val="white"/>
        </w:rPr>
        <w:t xml:space="preserve">, BH adjusted </w:t>
      </w:r>
      <w:r>
        <w:rPr>
          <w:rFonts w:ascii="Arial" w:eastAsia="Arial" w:hAnsi="Arial" w:cs="Arial"/>
          <w:i/>
          <w:sz w:val="22"/>
          <w:szCs w:val="22"/>
          <w:highlight w:val="white"/>
        </w:rPr>
        <w:t>p</w:t>
      </w:r>
      <w:r w:rsidR="00C928EA">
        <w:rPr>
          <w:rFonts w:ascii="Arial" w:eastAsia="Arial" w:hAnsi="Arial" w:cs="Arial"/>
          <w:sz w:val="22"/>
          <w:szCs w:val="22"/>
          <w:highlight w:val="white"/>
        </w:rPr>
        <w:t>-value = 0.058).</w:t>
      </w:r>
    </w:p>
    <w:p w14:paraId="7DE78881" w14:textId="77777777" w:rsidR="0034602B" w:rsidRDefault="0034602B">
      <w:pPr>
        <w:pStyle w:val="normal0"/>
        <w:rPr>
          <w:rFonts w:ascii="Arial" w:eastAsia="Arial" w:hAnsi="Arial" w:cs="Arial"/>
          <w:sz w:val="22"/>
          <w:szCs w:val="22"/>
        </w:rPr>
      </w:pPr>
    </w:p>
    <w:p w14:paraId="366CAB89" w14:textId="23FBE16E" w:rsidR="0034602B" w:rsidRDefault="001B1C9F">
      <w:pPr>
        <w:pStyle w:val="normal0"/>
        <w:jc w:val="both"/>
        <w:rPr>
          <w:rFonts w:ascii="Arial" w:eastAsia="Arial" w:hAnsi="Arial" w:cs="Arial"/>
          <w:b/>
          <w:sz w:val="28"/>
          <w:szCs w:val="28"/>
        </w:rPr>
      </w:pPr>
      <w:r>
        <w:rPr>
          <w:rFonts w:ascii="Arial" w:eastAsia="Arial" w:hAnsi="Arial" w:cs="Arial"/>
          <w:b/>
          <w:sz w:val="22"/>
          <w:szCs w:val="22"/>
          <w:highlight w:val="white"/>
        </w:rPr>
        <w:t xml:space="preserve">Gene Ontology: </w:t>
      </w:r>
      <w:r>
        <w:rPr>
          <w:rFonts w:ascii="Arial" w:eastAsia="Arial" w:hAnsi="Arial" w:cs="Arial"/>
          <w:sz w:val="22"/>
          <w:szCs w:val="22"/>
          <w:highlight w:val="white"/>
        </w:rPr>
        <w:t xml:space="preserve">Lastly, we compared Gene Ontology (GO) enrichment analyses obtained from the two analysis approaches. Because the relatively </w:t>
      </w:r>
      <w:r w:rsidR="00834A1C">
        <w:rPr>
          <w:rFonts w:ascii="Arial" w:eastAsia="Arial" w:hAnsi="Arial" w:cs="Arial"/>
          <w:sz w:val="22"/>
          <w:szCs w:val="22"/>
          <w:highlight w:val="white"/>
        </w:rPr>
        <w:t xml:space="preserve">conservative </w:t>
      </w:r>
      <w:r>
        <w:rPr>
          <w:rFonts w:ascii="Arial" w:eastAsia="Arial" w:hAnsi="Arial" w:cs="Arial"/>
          <w:sz w:val="22"/>
          <w:szCs w:val="22"/>
          <w:highlight w:val="white"/>
        </w:rPr>
        <w:t xml:space="preserve">topGO </w:t>
      </w:r>
      <w:r w:rsidR="00834A1C">
        <w:rPr>
          <w:rFonts w:ascii="Arial" w:eastAsia="Arial" w:hAnsi="Arial" w:cs="Arial"/>
          <w:sz w:val="22"/>
          <w:szCs w:val="22"/>
          <w:highlight w:val="white"/>
        </w:rPr>
        <w:t xml:space="preserve">algorithm </w:t>
      </w:r>
      <w:r>
        <w:rPr>
          <w:rFonts w:ascii="Arial" w:eastAsia="Arial" w:hAnsi="Arial" w:cs="Arial"/>
          <w:sz w:val="22"/>
          <w:szCs w:val="22"/>
          <w:highlight w:val="white"/>
        </w:rPr>
        <w:t>‘weight01’ removes Gene Ontology terms in an analysis-specific manner to increase sensitivity and specificity, we instead performed these comparisons with the topGO ‘classic’ algorithm, which reports all Gene Ontology terms. F</w:t>
      </w:r>
      <w:r w:rsidR="00834A1C">
        <w:rPr>
          <w:rFonts w:ascii="Arial" w:eastAsia="Arial" w:hAnsi="Arial" w:cs="Arial"/>
          <w:sz w:val="22"/>
          <w:szCs w:val="22"/>
          <w:highlight w:val="white"/>
        </w:rPr>
        <w:t xml:space="preserve">or clothianidin-exposed queens, </w:t>
      </w:r>
      <w:r>
        <w:rPr>
          <w:rFonts w:ascii="Arial" w:eastAsia="Arial" w:hAnsi="Arial" w:cs="Arial"/>
          <w:sz w:val="22"/>
          <w:szCs w:val="22"/>
          <w:highlight w:val="white"/>
        </w:rPr>
        <w:t>48 GO terms were significant according to both approaches, representing 74% of the 65 terms identified in the kallisto-based analysis and 96% of the 50 terms identified in the HISAT2-based analysis (see Euler Diagram in Supp. Fig. S5(A)). Similarly, for clothianidin-exposed workers, 18 GO terms were significant according to both approaches, representing 69.2% of the 24 terms identified in the kallisto-based analysis and 48.6% of the 37 terms identified in the HISAT2-based analysis (see Euler Diagram in Supp. Fig. S5(B)).</w:t>
      </w:r>
      <w:r>
        <w:br w:type="page"/>
      </w:r>
    </w:p>
    <w:p w14:paraId="01FD6530" w14:textId="77777777" w:rsidR="0034602B" w:rsidRDefault="001B1C9F">
      <w:pPr>
        <w:pStyle w:val="Heading1"/>
        <w:rPr>
          <w:rFonts w:ascii="Arial" w:eastAsia="Arial" w:hAnsi="Arial" w:cs="Arial"/>
          <w:color w:val="000000"/>
          <w:sz w:val="28"/>
          <w:szCs w:val="28"/>
        </w:rPr>
      </w:pPr>
      <w:bookmarkStart w:id="2" w:name="_33161zjv6rvw" w:colFirst="0" w:colLast="0"/>
      <w:bookmarkEnd w:id="2"/>
      <w:r>
        <w:rPr>
          <w:rFonts w:ascii="Arial" w:eastAsia="Arial" w:hAnsi="Arial" w:cs="Arial"/>
          <w:color w:val="000000"/>
          <w:sz w:val="28"/>
          <w:szCs w:val="28"/>
        </w:rPr>
        <w:lastRenderedPageBreak/>
        <w:t>Supplemental Figures</w:t>
      </w:r>
    </w:p>
    <w:p w14:paraId="711FA1AD" w14:textId="77777777" w:rsidR="0034602B" w:rsidRDefault="0034602B">
      <w:pPr>
        <w:pStyle w:val="normal0"/>
      </w:pPr>
    </w:p>
    <w:p w14:paraId="658A4F60" w14:textId="386DE653" w:rsidR="0034602B" w:rsidRDefault="001B1C9F">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 xml:space="preserve">Supp. Fig. S1. Experimental design for RNA-Seq pesticide exposure experiment. </w:t>
      </w:r>
      <w:r>
        <w:rPr>
          <w:rFonts w:ascii="Arial" w:eastAsia="Arial" w:hAnsi="Arial" w:cs="Arial"/>
          <w:color w:val="000000"/>
          <w:sz w:val="22"/>
          <w:szCs w:val="22"/>
        </w:rPr>
        <w:t>Twelve entire bumblebee colonies of controlled size (see Materials and Methods) were randomly assigned to either a control, clothianidin or imidacloprid treatment. On day 1</w:t>
      </w:r>
      <w:r w:rsidR="00834A1C">
        <w:rPr>
          <w:rFonts w:ascii="Arial" w:eastAsia="Arial" w:hAnsi="Arial" w:cs="Arial"/>
          <w:color w:val="000000"/>
          <w:sz w:val="22"/>
          <w:szCs w:val="22"/>
        </w:rPr>
        <w:t>,</w:t>
      </w:r>
      <w:r>
        <w:rPr>
          <w:rFonts w:ascii="Arial" w:eastAsia="Arial" w:hAnsi="Arial" w:cs="Arial"/>
          <w:color w:val="000000"/>
          <w:sz w:val="22"/>
          <w:szCs w:val="22"/>
        </w:rPr>
        <w:t xml:space="preserve"> between one and four newly eclosed bumblebee workers were briefly taken from the colony, tagged for future identification and returned to the colony. We provided all colonies for all treatments with sucrose solution </w:t>
      </w:r>
      <w:r>
        <w:rPr>
          <w:rFonts w:ascii="Arial" w:eastAsia="Arial" w:hAnsi="Arial" w:cs="Arial"/>
          <w:i/>
          <w:color w:val="000000"/>
          <w:sz w:val="22"/>
          <w:szCs w:val="22"/>
        </w:rPr>
        <w:t>ad libitum</w:t>
      </w:r>
      <w:r>
        <w:rPr>
          <w:rFonts w:ascii="Arial" w:eastAsia="Arial" w:hAnsi="Arial" w:cs="Arial"/>
          <w:color w:val="000000"/>
          <w:sz w:val="22"/>
          <w:szCs w:val="22"/>
        </w:rPr>
        <w:t>. Six days later, colonies assigned a neonicotinoid treatment were exposed to either clothianidin- or imidacloprid-laced sucrose solution while control colonies remained on untreated sucrose solution. After four days of exposure, we collected the 10 day old workers</w:t>
      </w:r>
      <w:r>
        <w:rPr>
          <w:rFonts w:ascii="Arial" w:eastAsia="Arial" w:hAnsi="Arial" w:cs="Arial"/>
          <w:sz w:val="22"/>
          <w:szCs w:val="22"/>
        </w:rPr>
        <w:t xml:space="preserve">, as well as the </w:t>
      </w:r>
      <w:r>
        <w:rPr>
          <w:rFonts w:ascii="Arial" w:eastAsia="Arial" w:hAnsi="Arial" w:cs="Arial"/>
          <w:color w:val="000000"/>
          <w:sz w:val="22"/>
          <w:szCs w:val="22"/>
        </w:rPr>
        <w:t xml:space="preserve">queen for each colony. Collected individuals were immediately transferred to individual cryotubes and </w:t>
      </w:r>
      <w:r w:rsidR="00834A1C">
        <w:rPr>
          <w:rFonts w:ascii="Arial" w:eastAsia="Arial" w:hAnsi="Arial" w:cs="Arial"/>
          <w:color w:val="000000"/>
          <w:sz w:val="22"/>
          <w:szCs w:val="22"/>
        </w:rPr>
        <w:t>snap frozen in liquid nitrogen.</w:t>
      </w:r>
    </w:p>
    <w:p w14:paraId="06140B71" w14:textId="77777777" w:rsidR="0034602B" w:rsidRDefault="0034602B">
      <w:pPr>
        <w:pStyle w:val="normal0"/>
        <w:pBdr>
          <w:top w:val="nil"/>
          <w:left w:val="nil"/>
          <w:bottom w:val="nil"/>
          <w:right w:val="nil"/>
          <w:between w:val="nil"/>
        </w:pBdr>
        <w:jc w:val="both"/>
        <w:rPr>
          <w:rFonts w:ascii="Arial" w:eastAsia="Arial" w:hAnsi="Arial" w:cs="Arial"/>
          <w:color w:val="000000"/>
          <w:sz w:val="22"/>
          <w:szCs w:val="22"/>
        </w:rPr>
      </w:pPr>
    </w:p>
    <w:p w14:paraId="4A07A14D" w14:textId="77777777" w:rsidR="0034602B" w:rsidRDefault="001B1C9F">
      <w:pPr>
        <w:pStyle w:val="normal0"/>
        <w:pBdr>
          <w:top w:val="nil"/>
          <w:left w:val="nil"/>
          <w:bottom w:val="nil"/>
          <w:right w:val="nil"/>
          <w:between w:val="nil"/>
        </w:pBdr>
        <w:spacing w:line="276" w:lineRule="auto"/>
        <w:jc w:val="both"/>
        <w:rPr>
          <w:rFonts w:ascii="Arial" w:eastAsia="Arial" w:hAnsi="Arial" w:cs="Arial"/>
          <w:b/>
          <w:color w:val="000000"/>
          <w:sz w:val="22"/>
          <w:szCs w:val="22"/>
        </w:rPr>
      </w:pPr>
      <w:r>
        <w:rPr>
          <w:rFonts w:ascii="Arial" w:eastAsia="Arial" w:hAnsi="Arial" w:cs="Arial"/>
          <w:noProof/>
          <w:color w:val="000000"/>
          <w:sz w:val="22"/>
          <w:szCs w:val="22"/>
          <w:lang w:val="en-US"/>
        </w:rPr>
        <w:drawing>
          <wp:inline distT="114300" distB="114300" distL="114300" distR="114300" wp14:anchorId="7446BCF1" wp14:editId="58CB5286">
            <wp:extent cx="5881688" cy="2901863"/>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5"/>
                    <a:srcRect/>
                    <a:stretch>
                      <a:fillRect/>
                    </a:stretch>
                  </pic:blipFill>
                  <pic:spPr>
                    <a:xfrm>
                      <a:off x="0" y="0"/>
                      <a:ext cx="5881688" cy="2901863"/>
                    </a:xfrm>
                    <a:prstGeom prst="rect">
                      <a:avLst/>
                    </a:prstGeom>
                    <a:ln/>
                  </pic:spPr>
                </pic:pic>
              </a:graphicData>
            </a:graphic>
          </wp:inline>
        </w:drawing>
      </w:r>
    </w:p>
    <w:p w14:paraId="21C3EA1B" w14:textId="77777777" w:rsidR="0034602B" w:rsidRDefault="001B1C9F">
      <w:pPr>
        <w:pStyle w:val="normal0"/>
        <w:rPr>
          <w:b/>
        </w:rPr>
      </w:pPr>
      <w:r>
        <w:br w:type="page"/>
      </w:r>
    </w:p>
    <w:p w14:paraId="73F8CD32" w14:textId="4E8A9CA6" w:rsidR="0034602B" w:rsidRDefault="001B1C9F">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lastRenderedPageBreak/>
        <w:t xml:space="preserve">Supp. Fig. S2. Gene expression changes in amplitude and splicing in response to neonicotinoid insecticides. </w:t>
      </w:r>
      <w:r>
        <w:rPr>
          <w:rFonts w:ascii="Arial" w:eastAsia="Arial" w:hAnsi="Arial" w:cs="Arial"/>
          <w:sz w:val="22"/>
          <w:szCs w:val="22"/>
        </w:rPr>
        <w:t>Euler</w:t>
      </w:r>
      <w:r>
        <w:rPr>
          <w:rFonts w:ascii="Arial" w:eastAsia="Arial" w:hAnsi="Arial" w:cs="Arial"/>
          <w:color w:val="000000"/>
          <w:sz w:val="22"/>
          <w:szCs w:val="22"/>
        </w:rPr>
        <w:t xml:space="preserve"> diagram of the overlap among genes identified as significantly differentially expressed (DE) and/or alternatively spliced (splicing) in each caste (</w:t>
      </w:r>
      <w:r>
        <w:rPr>
          <w:rFonts w:ascii="Arial" w:eastAsia="Arial" w:hAnsi="Arial" w:cs="Arial"/>
          <w:sz w:val="22"/>
          <w:szCs w:val="22"/>
        </w:rPr>
        <w:t>“</w:t>
      </w:r>
      <w:r>
        <w:rPr>
          <w:rFonts w:ascii="Arial" w:eastAsia="Arial" w:hAnsi="Arial" w:cs="Arial"/>
          <w:color w:val="000000"/>
          <w:sz w:val="22"/>
          <w:szCs w:val="22"/>
        </w:rPr>
        <w:t>Worker</w:t>
      </w:r>
      <w:r>
        <w:rPr>
          <w:rFonts w:ascii="Arial" w:eastAsia="Arial" w:hAnsi="Arial" w:cs="Arial"/>
          <w:sz w:val="22"/>
          <w:szCs w:val="22"/>
        </w:rPr>
        <w:t>”</w:t>
      </w:r>
      <w:r>
        <w:rPr>
          <w:rFonts w:ascii="Arial" w:eastAsia="Arial" w:hAnsi="Arial" w:cs="Arial"/>
          <w:color w:val="000000"/>
          <w:sz w:val="22"/>
          <w:szCs w:val="22"/>
        </w:rPr>
        <w:t xml:space="preserve">; </w:t>
      </w:r>
      <w:r>
        <w:rPr>
          <w:rFonts w:ascii="Arial" w:eastAsia="Arial" w:hAnsi="Arial" w:cs="Arial"/>
          <w:sz w:val="22"/>
          <w:szCs w:val="22"/>
        </w:rPr>
        <w:t>“</w:t>
      </w:r>
      <w:r>
        <w:rPr>
          <w:rFonts w:ascii="Arial" w:eastAsia="Arial" w:hAnsi="Arial" w:cs="Arial"/>
          <w:color w:val="000000"/>
          <w:sz w:val="22"/>
          <w:szCs w:val="22"/>
        </w:rPr>
        <w:t>Queen</w:t>
      </w:r>
      <w:r>
        <w:rPr>
          <w:rFonts w:ascii="Arial" w:eastAsia="Arial" w:hAnsi="Arial" w:cs="Arial"/>
          <w:sz w:val="22"/>
          <w:szCs w:val="22"/>
        </w:rPr>
        <w:t>”</w:t>
      </w:r>
      <w:r>
        <w:rPr>
          <w:rFonts w:ascii="Arial" w:eastAsia="Arial" w:hAnsi="Arial" w:cs="Arial"/>
          <w:color w:val="000000"/>
          <w:sz w:val="22"/>
          <w:szCs w:val="22"/>
        </w:rPr>
        <w:t>) in response to one of two neonicotinoid treatments (</w:t>
      </w:r>
      <w:r>
        <w:rPr>
          <w:rFonts w:ascii="Arial" w:eastAsia="Arial" w:hAnsi="Arial" w:cs="Arial"/>
          <w:sz w:val="22"/>
          <w:szCs w:val="22"/>
        </w:rPr>
        <w:t>“</w:t>
      </w:r>
      <w:r>
        <w:rPr>
          <w:rFonts w:ascii="Arial" w:eastAsia="Arial" w:hAnsi="Arial" w:cs="Arial"/>
          <w:color w:val="000000"/>
          <w:sz w:val="22"/>
          <w:szCs w:val="22"/>
        </w:rPr>
        <w:t>clothianidin</w:t>
      </w:r>
      <w:r>
        <w:rPr>
          <w:rFonts w:ascii="Arial" w:eastAsia="Arial" w:hAnsi="Arial" w:cs="Arial"/>
          <w:sz w:val="22"/>
          <w:szCs w:val="22"/>
        </w:rPr>
        <w:t>”</w:t>
      </w:r>
      <w:r>
        <w:rPr>
          <w:rFonts w:ascii="Arial" w:eastAsia="Arial" w:hAnsi="Arial" w:cs="Arial"/>
          <w:color w:val="000000"/>
          <w:sz w:val="22"/>
          <w:szCs w:val="22"/>
        </w:rPr>
        <w:t xml:space="preserve"> or </w:t>
      </w:r>
      <w:r>
        <w:rPr>
          <w:rFonts w:ascii="Arial" w:eastAsia="Arial" w:hAnsi="Arial" w:cs="Arial"/>
          <w:sz w:val="22"/>
          <w:szCs w:val="22"/>
        </w:rPr>
        <w:t>“</w:t>
      </w:r>
      <w:r>
        <w:rPr>
          <w:rFonts w:ascii="Arial" w:eastAsia="Arial" w:hAnsi="Arial" w:cs="Arial"/>
          <w:color w:val="000000"/>
          <w:sz w:val="22"/>
          <w:szCs w:val="22"/>
        </w:rPr>
        <w:t>imidacloprid</w:t>
      </w:r>
      <w:r>
        <w:rPr>
          <w:rFonts w:ascii="Arial" w:eastAsia="Arial" w:hAnsi="Arial" w:cs="Arial"/>
          <w:sz w:val="22"/>
          <w:szCs w:val="22"/>
        </w:rPr>
        <w:t>”</w:t>
      </w:r>
      <w:r w:rsidR="0098402B">
        <w:rPr>
          <w:rFonts w:ascii="Arial" w:eastAsia="Arial" w:hAnsi="Arial" w:cs="Arial"/>
          <w:color w:val="000000"/>
          <w:sz w:val="22"/>
          <w:szCs w:val="22"/>
        </w:rPr>
        <w:t>).</w:t>
      </w:r>
    </w:p>
    <w:p w14:paraId="2AE4EAA1" w14:textId="77777777" w:rsidR="0034602B" w:rsidRDefault="0034602B">
      <w:pPr>
        <w:pStyle w:val="normal0"/>
        <w:pBdr>
          <w:top w:val="nil"/>
          <w:left w:val="nil"/>
          <w:bottom w:val="nil"/>
          <w:right w:val="nil"/>
          <w:between w:val="nil"/>
        </w:pBdr>
        <w:jc w:val="both"/>
        <w:rPr>
          <w:rFonts w:ascii="Arial" w:eastAsia="Arial" w:hAnsi="Arial" w:cs="Arial"/>
          <w:color w:val="000000"/>
          <w:sz w:val="22"/>
          <w:szCs w:val="22"/>
        </w:rPr>
      </w:pPr>
    </w:p>
    <w:p w14:paraId="2B09F8E2" w14:textId="77777777" w:rsidR="0034602B" w:rsidRDefault="001B1C9F">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noProof/>
          <w:color w:val="000000"/>
          <w:sz w:val="22"/>
          <w:szCs w:val="22"/>
          <w:lang w:val="en-US"/>
        </w:rPr>
        <w:drawing>
          <wp:inline distT="0" distB="0" distL="0" distR="0" wp14:anchorId="0B29CAF4" wp14:editId="5D5BB82C">
            <wp:extent cx="6824534" cy="482441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6824534" cy="4824413"/>
                    </a:xfrm>
                    <a:prstGeom prst="rect">
                      <a:avLst/>
                    </a:prstGeom>
                    <a:ln/>
                  </pic:spPr>
                </pic:pic>
              </a:graphicData>
            </a:graphic>
          </wp:inline>
        </w:drawing>
      </w:r>
    </w:p>
    <w:p w14:paraId="389DBA23" w14:textId="77777777" w:rsidR="0034602B" w:rsidRDefault="001B1C9F">
      <w:pPr>
        <w:pStyle w:val="normal0"/>
        <w:pBdr>
          <w:top w:val="nil"/>
          <w:left w:val="nil"/>
          <w:bottom w:val="nil"/>
          <w:right w:val="nil"/>
          <w:between w:val="nil"/>
        </w:pBdr>
        <w:jc w:val="both"/>
        <w:rPr>
          <w:b/>
        </w:rPr>
      </w:pPr>
      <w:r>
        <w:br w:type="page"/>
      </w:r>
    </w:p>
    <w:p w14:paraId="15FAA7DC" w14:textId="1ADBC7F8" w:rsidR="0034602B" w:rsidRDefault="001B1C9F">
      <w:pPr>
        <w:pStyle w:val="normal0"/>
        <w:pBdr>
          <w:top w:val="nil"/>
          <w:left w:val="nil"/>
          <w:bottom w:val="nil"/>
          <w:right w:val="nil"/>
          <w:between w:val="nil"/>
        </w:pBdr>
        <w:jc w:val="both"/>
        <w:rPr>
          <w:rFonts w:ascii="Arial" w:eastAsia="Arial" w:hAnsi="Arial" w:cs="Arial"/>
          <w:sz w:val="22"/>
          <w:szCs w:val="22"/>
        </w:rPr>
      </w:pPr>
      <w:r>
        <w:rPr>
          <w:rFonts w:ascii="Arial" w:eastAsia="Arial" w:hAnsi="Arial" w:cs="Arial"/>
          <w:b/>
          <w:color w:val="000000"/>
          <w:sz w:val="22"/>
          <w:szCs w:val="22"/>
        </w:rPr>
        <w:lastRenderedPageBreak/>
        <w:t xml:space="preserve">Supp. Fig. S3. Enrichment of </w:t>
      </w:r>
      <w:r>
        <w:rPr>
          <w:rFonts w:ascii="Arial" w:eastAsia="Arial" w:hAnsi="Arial" w:cs="Arial"/>
          <w:b/>
          <w:sz w:val="22"/>
          <w:szCs w:val="22"/>
        </w:rPr>
        <w:t>G</w:t>
      </w:r>
      <w:r>
        <w:rPr>
          <w:rFonts w:ascii="Arial" w:eastAsia="Arial" w:hAnsi="Arial" w:cs="Arial"/>
          <w:b/>
          <w:color w:val="000000"/>
          <w:sz w:val="22"/>
          <w:szCs w:val="22"/>
        </w:rPr>
        <w:t xml:space="preserve">ene </w:t>
      </w:r>
      <w:r>
        <w:rPr>
          <w:rFonts w:ascii="Arial" w:eastAsia="Arial" w:hAnsi="Arial" w:cs="Arial"/>
          <w:b/>
          <w:sz w:val="22"/>
          <w:szCs w:val="22"/>
        </w:rPr>
        <w:t>O</w:t>
      </w:r>
      <w:r>
        <w:rPr>
          <w:rFonts w:ascii="Arial" w:eastAsia="Arial" w:hAnsi="Arial" w:cs="Arial"/>
          <w:b/>
          <w:color w:val="000000"/>
          <w:sz w:val="22"/>
          <w:szCs w:val="22"/>
        </w:rPr>
        <w:t xml:space="preserve">ntology terms associated with genes differentially expressed in response to clothianidin exposure. </w:t>
      </w:r>
      <w:r>
        <w:rPr>
          <w:rFonts w:ascii="Arial" w:eastAsia="Arial" w:hAnsi="Arial" w:cs="Arial"/>
          <w:color w:val="000000"/>
          <w:sz w:val="22"/>
          <w:szCs w:val="22"/>
        </w:rPr>
        <w:t xml:space="preserve">Each bar represents the -log10 of </w:t>
      </w:r>
      <w:r>
        <w:rPr>
          <w:rFonts w:ascii="Arial" w:eastAsia="Arial" w:hAnsi="Arial" w:cs="Arial"/>
          <w:i/>
          <w:color w:val="000000"/>
          <w:sz w:val="22"/>
          <w:szCs w:val="22"/>
        </w:rPr>
        <w:t>p</w:t>
      </w:r>
      <w:r>
        <w:rPr>
          <w:rFonts w:ascii="Arial" w:eastAsia="Arial" w:hAnsi="Arial" w:cs="Arial"/>
          <w:color w:val="000000"/>
          <w:sz w:val="22"/>
          <w:szCs w:val="22"/>
        </w:rPr>
        <w:t xml:space="preserve">-value for a rank-based analysis (Kolmogorov-Smirnov test) for each GO term; in parentheses, we show the total number of annotated genes for each term. The </w:t>
      </w:r>
      <w:r>
        <w:rPr>
          <w:rFonts w:ascii="Arial" w:eastAsia="Arial" w:hAnsi="Arial" w:cs="Arial"/>
          <w:sz w:val="22"/>
          <w:szCs w:val="22"/>
        </w:rPr>
        <w:t>v</w:t>
      </w:r>
      <w:r>
        <w:rPr>
          <w:rFonts w:ascii="Arial" w:eastAsia="Arial" w:hAnsi="Arial" w:cs="Arial"/>
          <w:color w:val="000000"/>
          <w:sz w:val="22"/>
          <w:szCs w:val="22"/>
        </w:rPr>
        <w:t xml:space="preserve">ertical black line indicates a </w:t>
      </w:r>
      <w:r w:rsidR="006E5CFA">
        <w:rPr>
          <w:rFonts w:ascii="Arial" w:eastAsia="Arial" w:hAnsi="Arial" w:cs="Arial"/>
          <w:color w:val="000000"/>
          <w:sz w:val="22"/>
          <w:szCs w:val="22"/>
        </w:rPr>
        <w:t>-</w:t>
      </w:r>
      <w:r>
        <w:rPr>
          <w:rFonts w:ascii="Arial" w:eastAsia="Arial" w:hAnsi="Arial" w:cs="Arial"/>
          <w:color w:val="000000"/>
          <w:sz w:val="22"/>
          <w:szCs w:val="22"/>
        </w:rPr>
        <w:t>log10(</w:t>
      </w:r>
      <w:r>
        <w:rPr>
          <w:rFonts w:ascii="Arial" w:eastAsia="Arial" w:hAnsi="Arial" w:cs="Arial"/>
          <w:i/>
          <w:color w:val="000000"/>
          <w:sz w:val="22"/>
          <w:szCs w:val="22"/>
        </w:rPr>
        <w:t>p</w:t>
      </w:r>
      <w:r>
        <w:rPr>
          <w:rFonts w:ascii="Arial" w:eastAsia="Arial" w:hAnsi="Arial" w:cs="Arial"/>
          <w:color w:val="000000"/>
          <w:sz w:val="22"/>
          <w:szCs w:val="22"/>
        </w:rPr>
        <w:t xml:space="preserve">) value equivalent to the </w:t>
      </w:r>
      <w:r>
        <w:rPr>
          <w:rFonts w:ascii="Arial" w:eastAsia="Arial" w:hAnsi="Arial" w:cs="Arial"/>
          <w:i/>
          <w:sz w:val="22"/>
          <w:szCs w:val="22"/>
        </w:rPr>
        <w:t>p</w:t>
      </w:r>
      <w:r w:rsidR="00A40D65">
        <w:rPr>
          <w:rFonts w:ascii="Arial" w:eastAsia="Arial" w:hAnsi="Arial" w:cs="Arial"/>
          <w:sz w:val="22"/>
          <w:szCs w:val="22"/>
        </w:rPr>
        <w:t>-value</w:t>
      </w:r>
      <w:bookmarkStart w:id="3" w:name="_GoBack"/>
      <w:bookmarkEnd w:id="3"/>
      <w:r>
        <w:rPr>
          <w:rFonts w:ascii="Arial" w:eastAsia="Arial" w:hAnsi="Arial" w:cs="Arial"/>
          <w:i/>
          <w:sz w:val="22"/>
          <w:szCs w:val="22"/>
        </w:rPr>
        <w:t xml:space="preserve"> </w:t>
      </w:r>
      <w:r>
        <w:rPr>
          <w:rFonts w:ascii="Arial" w:eastAsia="Arial" w:hAnsi="Arial" w:cs="Arial"/>
          <w:color w:val="000000"/>
          <w:sz w:val="22"/>
          <w:szCs w:val="22"/>
        </w:rPr>
        <w:t>= 0.05 threshold of significance. Ontologies are colored in grey (molecular function), blue (cellular component) and orange (biological process).</w:t>
      </w:r>
    </w:p>
    <w:p w14:paraId="4C065FEA" w14:textId="4A2D2528" w:rsidR="0034602B" w:rsidRDefault="00DA4E14">
      <w:pPr>
        <w:pStyle w:val="normal0"/>
        <w:pBdr>
          <w:top w:val="nil"/>
          <w:left w:val="nil"/>
          <w:bottom w:val="nil"/>
          <w:right w:val="nil"/>
          <w:between w:val="nil"/>
        </w:pBdr>
        <w:spacing w:line="360" w:lineRule="auto"/>
        <w:jc w:val="center"/>
        <w:rPr>
          <w:rFonts w:ascii="Arial" w:eastAsia="Arial" w:hAnsi="Arial" w:cs="Arial"/>
          <w:color w:val="000000"/>
          <w:sz w:val="22"/>
          <w:szCs w:val="22"/>
        </w:rPr>
      </w:pPr>
      <w:r w:rsidRPr="0054599B">
        <w:rPr>
          <w:noProof/>
          <w:lang w:val="en-US"/>
        </w:rPr>
        <w:drawing>
          <wp:inline distT="0" distB="0" distL="0" distR="0" wp14:anchorId="40F750A3" wp14:editId="650AD3CF">
            <wp:extent cx="5943600" cy="65558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6555821"/>
                    </a:xfrm>
                    <a:prstGeom prst="rect">
                      <a:avLst/>
                    </a:prstGeom>
                  </pic:spPr>
                </pic:pic>
              </a:graphicData>
            </a:graphic>
          </wp:inline>
        </w:drawing>
      </w:r>
    </w:p>
    <w:p w14:paraId="5172BC63" w14:textId="77777777" w:rsidR="00DA4E14" w:rsidRDefault="00DA4E14">
      <w:pPr>
        <w:rPr>
          <w:rFonts w:ascii="Arial" w:eastAsia="Arial" w:hAnsi="Arial" w:cs="Arial"/>
          <w:b/>
          <w:color w:val="000000"/>
          <w:sz w:val="22"/>
          <w:szCs w:val="22"/>
        </w:rPr>
      </w:pPr>
      <w:r>
        <w:rPr>
          <w:rFonts w:ascii="Arial" w:eastAsia="Arial" w:hAnsi="Arial" w:cs="Arial"/>
          <w:b/>
          <w:color w:val="000000"/>
          <w:sz w:val="22"/>
          <w:szCs w:val="22"/>
        </w:rPr>
        <w:br w:type="page"/>
      </w:r>
    </w:p>
    <w:p w14:paraId="2B9A684E" w14:textId="4F783414" w:rsidR="0034602B" w:rsidRDefault="001B1C9F">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lastRenderedPageBreak/>
        <w:t>Supp. Fig. S4. High overlap of differential</w:t>
      </w:r>
      <w:r w:rsidR="00B71CD4">
        <w:rPr>
          <w:rFonts w:ascii="Arial" w:eastAsia="Arial" w:hAnsi="Arial" w:cs="Arial"/>
          <w:b/>
          <w:color w:val="000000"/>
          <w:sz w:val="22"/>
          <w:szCs w:val="22"/>
        </w:rPr>
        <w:t>ly</w:t>
      </w:r>
      <w:r>
        <w:rPr>
          <w:rFonts w:ascii="Arial" w:eastAsia="Arial" w:hAnsi="Arial" w:cs="Arial"/>
          <w:b/>
          <w:color w:val="000000"/>
          <w:sz w:val="22"/>
          <w:szCs w:val="22"/>
        </w:rPr>
        <w:t xml:space="preserve"> expressed genes detected by DESeq2 using </w:t>
      </w:r>
      <w:r>
        <w:rPr>
          <w:rFonts w:ascii="Arial" w:eastAsia="Arial" w:hAnsi="Arial" w:cs="Arial"/>
          <w:b/>
          <w:sz w:val="22"/>
          <w:szCs w:val="22"/>
        </w:rPr>
        <w:t>k</w:t>
      </w:r>
      <w:r w:rsidR="00B71CD4">
        <w:rPr>
          <w:rFonts w:ascii="Arial" w:eastAsia="Arial" w:hAnsi="Arial" w:cs="Arial"/>
          <w:b/>
          <w:color w:val="000000"/>
          <w:sz w:val="22"/>
          <w:szCs w:val="22"/>
        </w:rPr>
        <w:t>allisto- and HISAT2-based</w:t>
      </w:r>
      <w:r>
        <w:rPr>
          <w:rFonts w:ascii="Arial" w:eastAsia="Arial" w:hAnsi="Arial" w:cs="Arial"/>
          <w:b/>
          <w:color w:val="000000"/>
          <w:sz w:val="22"/>
          <w:szCs w:val="22"/>
        </w:rPr>
        <w:t xml:space="preserve"> </w:t>
      </w:r>
      <w:r w:rsidR="00B71CD4">
        <w:rPr>
          <w:rFonts w:ascii="Arial" w:eastAsia="Arial" w:hAnsi="Arial" w:cs="Arial"/>
          <w:b/>
          <w:color w:val="000000"/>
          <w:sz w:val="22"/>
          <w:szCs w:val="22"/>
        </w:rPr>
        <w:t xml:space="preserve">approaches </w:t>
      </w:r>
      <w:r>
        <w:rPr>
          <w:rFonts w:ascii="Arial" w:eastAsia="Arial" w:hAnsi="Arial" w:cs="Arial"/>
          <w:b/>
          <w:color w:val="000000"/>
          <w:sz w:val="22"/>
          <w:szCs w:val="22"/>
        </w:rPr>
        <w:t xml:space="preserve">for each caste exposed to clothianidin. </w:t>
      </w:r>
      <w:r>
        <w:rPr>
          <w:rFonts w:ascii="Arial" w:eastAsia="Arial" w:hAnsi="Arial" w:cs="Arial"/>
          <w:sz w:val="22"/>
          <w:szCs w:val="22"/>
        </w:rPr>
        <w:t>Euler</w:t>
      </w:r>
      <w:r>
        <w:rPr>
          <w:rFonts w:ascii="Arial" w:eastAsia="Arial" w:hAnsi="Arial" w:cs="Arial"/>
          <w:color w:val="000000"/>
          <w:sz w:val="22"/>
          <w:szCs w:val="22"/>
        </w:rPr>
        <w:t xml:space="preserve"> diagram of</w:t>
      </w:r>
      <w:r>
        <w:rPr>
          <w:rFonts w:ascii="Arial" w:eastAsia="Arial" w:hAnsi="Arial" w:cs="Arial"/>
          <w:b/>
          <w:color w:val="000000"/>
          <w:sz w:val="22"/>
          <w:szCs w:val="22"/>
        </w:rPr>
        <w:t xml:space="preserve"> </w:t>
      </w:r>
      <w:r>
        <w:rPr>
          <w:rFonts w:ascii="Arial" w:eastAsia="Arial" w:hAnsi="Arial" w:cs="Arial"/>
          <w:color w:val="000000"/>
          <w:sz w:val="22"/>
          <w:szCs w:val="22"/>
        </w:rPr>
        <w:t xml:space="preserve">significant (BH </w:t>
      </w:r>
      <w:r>
        <w:rPr>
          <w:rFonts w:ascii="Arial" w:eastAsia="Arial" w:hAnsi="Arial" w:cs="Arial"/>
          <w:sz w:val="22"/>
          <w:szCs w:val="22"/>
        </w:rPr>
        <w:t xml:space="preserve">adjusted </w:t>
      </w:r>
      <w:r>
        <w:rPr>
          <w:rFonts w:ascii="Arial" w:eastAsia="Arial" w:hAnsi="Arial" w:cs="Arial"/>
          <w:i/>
          <w:color w:val="000000"/>
          <w:sz w:val="22"/>
          <w:szCs w:val="22"/>
        </w:rPr>
        <w:t>p</w:t>
      </w:r>
      <w:r>
        <w:rPr>
          <w:rFonts w:ascii="Arial" w:eastAsia="Arial" w:hAnsi="Arial" w:cs="Arial"/>
          <w:sz w:val="22"/>
          <w:szCs w:val="22"/>
        </w:rPr>
        <w:t>-</w:t>
      </w:r>
      <w:r>
        <w:rPr>
          <w:rFonts w:ascii="Arial" w:eastAsia="Arial" w:hAnsi="Arial" w:cs="Arial"/>
          <w:color w:val="000000"/>
          <w:sz w:val="22"/>
          <w:szCs w:val="22"/>
        </w:rPr>
        <w:t>value &lt; 0.05)</w:t>
      </w:r>
      <w:r>
        <w:rPr>
          <w:rFonts w:ascii="Arial" w:eastAsia="Arial" w:hAnsi="Arial" w:cs="Arial"/>
          <w:b/>
          <w:color w:val="000000"/>
          <w:sz w:val="22"/>
          <w:szCs w:val="22"/>
        </w:rPr>
        <w:t xml:space="preserve"> </w:t>
      </w:r>
      <w:r>
        <w:rPr>
          <w:rFonts w:ascii="Arial" w:eastAsia="Arial" w:hAnsi="Arial" w:cs="Arial"/>
          <w:color w:val="000000"/>
          <w:sz w:val="22"/>
          <w:szCs w:val="22"/>
        </w:rPr>
        <w:t>differentially expressed genes</w:t>
      </w:r>
      <w:r>
        <w:rPr>
          <w:rFonts w:ascii="Arial" w:eastAsia="Arial" w:hAnsi="Arial" w:cs="Arial"/>
          <w:b/>
          <w:color w:val="000000"/>
          <w:sz w:val="22"/>
          <w:szCs w:val="22"/>
        </w:rPr>
        <w:t xml:space="preserve"> </w:t>
      </w:r>
      <w:r>
        <w:rPr>
          <w:rFonts w:ascii="Arial" w:eastAsia="Arial" w:hAnsi="Arial" w:cs="Arial"/>
          <w:color w:val="000000"/>
          <w:sz w:val="22"/>
          <w:szCs w:val="22"/>
        </w:rPr>
        <w:t>identified using two independent approaches: 1) “</w:t>
      </w:r>
      <w:r>
        <w:rPr>
          <w:rFonts w:ascii="Arial" w:eastAsia="Arial" w:hAnsi="Arial" w:cs="Arial"/>
          <w:sz w:val="22"/>
          <w:szCs w:val="22"/>
        </w:rPr>
        <w:t>k</w:t>
      </w:r>
      <w:r>
        <w:rPr>
          <w:rFonts w:ascii="Arial" w:eastAsia="Arial" w:hAnsi="Arial" w:cs="Arial"/>
          <w:color w:val="000000"/>
          <w:sz w:val="22"/>
          <w:szCs w:val="22"/>
        </w:rPr>
        <w:t xml:space="preserve">allisto”: Genes identified as differentially expressed by DESeq2 when using estimated counts generated by the pseudoaligner </w:t>
      </w:r>
      <w:r>
        <w:rPr>
          <w:rFonts w:ascii="Arial" w:eastAsia="Arial" w:hAnsi="Arial" w:cs="Arial"/>
          <w:sz w:val="22"/>
          <w:szCs w:val="22"/>
        </w:rPr>
        <w:t>k</w:t>
      </w:r>
      <w:r>
        <w:rPr>
          <w:rFonts w:ascii="Arial" w:eastAsia="Arial" w:hAnsi="Arial" w:cs="Arial"/>
          <w:color w:val="000000"/>
          <w:sz w:val="22"/>
          <w:szCs w:val="22"/>
        </w:rPr>
        <w:t xml:space="preserve">allisto as input; and 2) “HISAT2-HTSeq”: Genes identified as differentially expressed by DESeq2 when using actual gene-level counts generated by the HISAT2-HTSeq pipeline as input. </w:t>
      </w:r>
      <w:r>
        <w:rPr>
          <w:rFonts w:ascii="Arial" w:eastAsia="Arial" w:hAnsi="Arial" w:cs="Arial"/>
          <w:sz w:val="22"/>
          <w:szCs w:val="22"/>
        </w:rPr>
        <w:t>Euler</w:t>
      </w:r>
      <w:r>
        <w:rPr>
          <w:rFonts w:ascii="Arial" w:eastAsia="Arial" w:hAnsi="Arial" w:cs="Arial"/>
          <w:color w:val="000000"/>
          <w:sz w:val="22"/>
          <w:szCs w:val="22"/>
        </w:rPr>
        <w:t xml:space="preserve"> diagrams represent the overlap in</w:t>
      </w:r>
      <w:r w:rsidR="00B71CD4">
        <w:rPr>
          <w:rFonts w:ascii="Arial" w:eastAsia="Arial" w:hAnsi="Arial" w:cs="Arial"/>
          <w:color w:val="000000"/>
          <w:sz w:val="22"/>
          <w:szCs w:val="22"/>
        </w:rPr>
        <w:t xml:space="preserve"> significant differentially expressed </w:t>
      </w:r>
      <w:r>
        <w:rPr>
          <w:rFonts w:ascii="Arial" w:eastAsia="Arial" w:hAnsi="Arial" w:cs="Arial"/>
          <w:color w:val="000000"/>
          <w:sz w:val="22"/>
          <w:szCs w:val="22"/>
        </w:rPr>
        <w:t>gene</w:t>
      </w:r>
      <w:r w:rsidR="00B71CD4">
        <w:rPr>
          <w:rFonts w:ascii="Arial" w:eastAsia="Arial" w:hAnsi="Arial" w:cs="Arial"/>
          <w:color w:val="000000"/>
          <w:sz w:val="22"/>
          <w:szCs w:val="22"/>
        </w:rPr>
        <w:t>s</w:t>
      </w:r>
      <w:r>
        <w:rPr>
          <w:rFonts w:ascii="Arial" w:eastAsia="Arial" w:hAnsi="Arial" w:cs="Arial"/>
          <w:color w:val="000000"/>
          <w:sz w:val="22"/>
          <w:szCs w:val="22"/>
        </w:rPr>
        <w:t xml:space="preserve"> detected by each approach for (A) clothianidin-exposed queens and (B) clothianidin-exposed workers.</w:t>
      </w:r>
    </w:p>
    <w:p w14:paraId="5DA03913" w14:textId="77777777" w:rsidR="0034602B" w:rsidRDefault="0034602B">
      <w:pPr>
        <w:pStyle w:val="normal0"/>
        <w:pBdr>
          <w:top w:val="nil"/>
          <w:left w:val="nil"/>
          <w:bottom w:val="nil"/>
          <w:right w:val="nil"/>
          <w:between w:val="nil"/>
        </w:pBdr>
        <w:jc w:val="both"/>
        <w:rPr>
          <w:rFonts w:ascii="Arial" w:eastAsia="Arial" w:hAnsi="Arial" w:cs="Arial"/>
          <w:sz w:val="22"/>
          <w:szCs w:val="22"/>
        </w:rPr>
      </w:pPr>
    </w:p>
    <w:p w14:paraId="66BA6557" w14:textId="77777777" w:rsidR="0034602B" w:rsidRDefault="001B1C9F">
      <w:pPr>
        <w:pStyle w:val="normal0"/>
        <w:pBdr>
          <w:top w:val="nil"/>
          <w:left w:val="nil"/>
          <w:bottom w:val="nil"/>
          <w:right w:val="nil"/>
          <w:between w:val="nil"/>
        </w:pBdr>
        <w:spacing w:line="360" w:lineRule="auto"/>
        <w:jc w:val="center"/>
        <w:rPr>
          <w:rFonts w:ascii="Arial" w:eastAsia="Arial" w:hAnsi="Arial" w:cs="Arial"/>
          <w:b/>
          <w:color w:val="000000"/>
          <w:sz w:val="22"/>
          <w:szCs w:val="22"/>
        </w:rPr>
      </w:pPr>
      <w:r>
        <w:rPr>
          <w:rFonts w:ascii="Arial" w:eastAsia="Arial" w:hAnsi="Arial" w:cs="Arial"/>
          <w:noProof/>
          <w:color w:val="000000"/>
          <w:sz w:val="22"/>
          <w:szCs w:val="22"/>
          <w:lang w:val="en-US"/>
        </w:rPr>
        <w:drawing>
          <wp:inline distT="0" distB="0" distL="0" distR="0" wp14:anchorId="30506B0E" wp14:editId="1827BF1F">
            <wp:extent cx="4242453" cy="530306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4242453" cy="5303068"/>
                    </a:xfrm>
                    <a:prstGeom prst="rect">
                      <a:avLst/>
                    </a:prstGeom>
                    <a:ln/>
                  </pic:spPr>
                </pic:pic>
              </a:graphicData>
            </a:graphic>
          </wp:inline>
        </w:drawing>
      </w:r>
      <w:r>
        <w:br w:type="page"/>
      </w:r>
    </w:p>
    <w:p w14:paraId="17CEB9D6" w14:textId="43CEBEBF" w:rsidR="0034602B" w:rsidRDefault="001B1C9F">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lastRenderedPageBreak/>
        <w:t xml:space="preserve">Supp. Fig. S5. High overlap of enriched </w:t>
      </w:r>
      <w:r>
        <w:rPr>
          <w:rFonts w:ascii="Arial" w:eastAsia="Arial" w:hAnsi="Arial" w:cs="Arial"/>
          <w:b/>
          <w:sz w:val="22"/>
          <w:szCs w:val="22"/>
        </w:rPr>
        <w:t>G</w:t>
      </w:r>
      <w:r>
        <w:rPr>
          <w:rFonts w:ascii="Arial" w:eastAsia="Arial" w:hAnsi="Arial" w:cs="Arial"/>
          <w:b/>
          <w:color w:val="000000"/>
          <w:sz w:val="22"/>
          <w:szCs w:val="22"/>
        </w:rPr>
        <w:t xml:space="preserve">ene </w:t>
      </w:r>
      <w:r>
        <w:rPr>
          <w:rFonts w:ascii="Arial" w:eastAsia="Arial" w:hAnsi="Arial" w:cs="Arial"/>
          <w:b/>
          <w:sz w:val="22"/>
          <w:szCs w:val="22"/>
        </w:rPr>
        <w:t>O</w:t>
      </w:r>
      <w:r>
        <w:rPr>
          <w:rFonts w:ascii="Arial" w:eastAsia="Arial" w:hAnsi="Arial" w:cs="Arial"/>
          <w:b/>
          <w:color w:val="000000"/>
          <w:sz w:val="22"/>
          <w:szCs w:val="22"/>
        </w:rPr>
        <w:t xml:space="preserve">ntology terms detected by topGO using </w:t>
      </w:r>
      <w:r>
        <w:rPr>
          <w:rFonts w:ascii="Arial" w:eastAsia="Arial" w:hAnsi="Arial" w:cs="Arial"/>
          <w:b/>
          <w:sz w:val="22"/>
          <w:szCs w:val="22"/>
        </w:rPr>
        <w:t>k</w:t>
      </w:r>
      <w:r>
        <w:rPr>
          <w:rFonts w:ascii="Arial" w:eastAsia="Arial" w:hAnsi="Arial" w:cs="Arial"/>
          <w:b/>
          <w:color w:val="000000"/>
          <w:sz w:val="22"/>
          <w:szCs w:val="22"/>
        </w:rPr>
        <w:t>allisto</w:t>
      </w:r>
      <w:r w:rsidR="004E6E24">
        <w:rPr>
          <w:rFonts w:ascii="Arial" w:eastAsia="Arial" w:hAnsi="Arial" w:cs="Arial"/>
          <w:b/>
          <w:color w:val="000000"/>
          <w:sz w:val="22"/>
          <w:szCs w:val="22"/>
        </w:rPr>
        <w:t>- and HISAT2-based approaches</w:t>
      </w:r>
      <w:r>
        <w:rPr>
          <w:rFonts w:ascii="Arial" w:eastAsia="Arial" w:hAnsi="Arial" w:cs="Arial"/>
          <w:b/>
          <w:color w:val="000000"/>
          <w:sz w:val="22"/>
          <w:szCs w:val="22"/>
        </w:rPr>
        <w:t xml:space="preserve"> for each caste exposed to clothia</w:t>
      </w:r>
      <w:r>
        <w:rPr>
          <w:rFonts w:ascii="Arial" w:eastAsia="Arial" w:hAnsi="Arial" w:cs="Arial"/>
          <w:b/>
          <w:sz w:val="22"/>
          <w:szCs w:val="22"/>
        </w:rPr>
        <w:t>nidin</w:t>
      </w:r>
      <w:r>
        <w:rPr>
          <w:rFonts w:ascii="Arial" w:eastAsia="Arial" w:hAnsi="Arial" w:cs="Arial"/>
          <w:b/>
          <w:color w:val="000000"/>
          <w:sz w:val="22"/>
          <w:szCs w:val="22"/>
        </w:rPr>
        <w:t xml:space="preserve">. </w:t>
      </w:r>
      <w:r>
        <w:rPr>
          <w:rFonts w:ascii="Arial" w:eastAsia="Arial" w:hAnsi="Arial" w:cs="Arial"/>
          <w:sz w:val="22"/>
          <w:szCs w:val="22"/>
        </w:rPr>
        <w:t>Euler</w:t>
      </w:r>
      <w:r>
        <w:rPr>
          <w:rFonts w:ascii="Arial" w:eastAsia="Arial" w:hAnsi="Arial" w:cs="Arial"/>
          <w:color w:val="000000"/>
          <w:sz w:val="22"/>
          <w:szCs w:val="22"/>
        </w:rPr>
        <w:t xml:space="preserve"> diagrams of</w:t>
      </w:r>
      <w:r>
        <w:rPr>
          <w:rFonts w:ascii="Arial" w:eastAsia="Arial" w:hAnsi="Arial" w:cs="Arial"/>
          <w:b/>
          <w:color w:val="000000"/>
          <w:sz w:val="22"/>
          <w:szCs w:val="22"/>
        </w:rPr>
        <w:t xml:space="preserve"> </w:t>
      </w:r>
      <w:r>
        <w:rPr>
          <w:rFonts w:ascii="Arial" w:eastAsia="Arial" w:hAnsi="Arial" w:cs="Arial"/>
          <w:color w:val="000000"/>
          <w:sz w:val="22"/>
          <w:szCs w:val="22"/>
        </w:rPr>
        <w:t>significant (</w:t>
      </w:r>
      <w:r>
        <w:rPr>
          <w:rFonts w:ascii="Arial" w:eastAsia="Arial" w:hAnsi="Arial" w:cs="Arial"/>
          <w:i/>
          <w:color w:val="000000"/>
          <w:sz w:val="22"/>
          <w:szCs w:val="22"/>
        </w:rPr>
        <w:t>p</w:t>
      </w:r>
      <w:r>
        <w:rPr>
          <w:rFonts w:ascii="Arial" w:eastAsia="Arial" w:hAnsi="Arial" w:cs="Arial"/>
          <w:color w:val="000000"/>
          <w:sz w:val="22"/>
          <w:szCs w:val="22"/>
        </w:rPr>
        <w:t>-value &lt; 0.05)</w:t>
      </w:r>
      <w:r>
        <w:rPr>
          <w:rFonts w:ascii="Arial" w:eastAsia="Arial" w:hAnsi="Arial" w:cs="Arial"/>
          <w:b/>
          <w:color w:val="000000"/>
          <w:sz w:val="22"/>
          <w:szCs w:val="22"/>
        </w:rPr>
        <w:t xml:space="preserve"> </w:t>
      </w:r>
      <w:r>
        <w:rPr>
          <w:rFonts w:ascii="Arial" w:eastAsia="Arial" w:hAnsi="Arial" w:cs="Arial"/>
          <w:color w:val="000000"/>
          <w:sz w:val="22"/>
          <w:szCs w:val="22"/>
        </w:rPr>
        <w:t xml:space="preserve">enriched </w:t>
      </w:r>
      <w:r>
        <w:rPr>
          <w:rFonts w:ascii="Arial" w:eastAsia="Arial" w:hAnsi="Arial" w:cs="Arial"/>
          <w:sz w:val="22"/>
          <w:szCs w:val="22"/>
        </w:rPr>
        <w:t>G</w:t>
      </w:r>
      <w:r>
        <w:rPr>
          <w:rFonts w:ascii="Arial" w:eastAsia="Arial" w:hAnsi="Arial" w:cs="Arial"/>
          <w:color w:val="000000"/>
          <w:sz w:val="22"/>
          <w:szCs w:val="22"/>
        </w:rPr>
        <w:t xml:space="preserve">ene </w:t>
      </w:r>
      <w:r>
        <w:rPr>
          <w:rFonts w:ascii="Arial" w:eastAsia="Arial" w:hAnsi="Arial" w:cs="Arial"/>
          <w:sz w:val="22"/>
          <w:szCs w:val="22"/>
        </w:rPr>
        <w:t>O</w:t>
      </w:r>
      <w:r>
        <w:rPr>
          <w:rFonts w:ascii="Arial" w:eastAsia="Arial" w:hAnsi="Arial" w:cs="Arial"/>
          <w:color w:val="000000"/>
          <w:sz w:val="22"/>
          <w:szCs w:val="22"/>
        </w:rPr>
        <w:t>ntology terms identified by two independent approaches: 1) “</w:t>
      </w:r>
      <w:r>
        <w:rPr>
          <w:rFonts w:ascii="Arial" w:eastAsia="Arial" w:hAnsi="Arial" w:cs="Arial"/>
          <w:sz w:val="22"/>
          <w:szCs w:val="22"/>
        </w:rPr>
        <w:t>k</w:t>
      </w:r>
      <w:r>
        <w:rPr>
          <w:rFonts w:ascii="Arial" w:eastAsia="Arial" w:hAnsi="Arial" w:cs="Arial"/>
          <w:color w:val="000000"/>
          <w:sz w:val="22"/>
          <w:szCs w:val="22"/>
        </w:rPr>
        <w:t xml:space="preserve">allisto”: Gene </w:t>
      </w:r>
      <w:r>
        <w:rPr>
          <w:rFonts w:ascii="Arial" w:eastAsia="Arial" w:hAnsi="Arial" w:cs="Arial"/>
          <w:sz w:val="22"/>
          <w:szCs w:val="22"/>
        </w:rPr>
        <w:t>O</w:t>
      </w:r>
      <w:r>
        <w:rPr>
          <w:rFonts w:ascii="Arial" w:eastAsia="Arial" w:hAnsi="Arial" w:cs="Arial"/>
          <w:color w:val="000000"/>
          <w:sz w:val="22"/>
          <w:szCs w:val="22"/>
        </w:rPr>
        <w:t xml:space="preserve">ntology enrichment analysis performed by topGO on differentially expressed genes identified by DESeq2 when using estimated counts generated by the pseudoaligner </w:t>
      </w:r>
      <w:r>
        <w:rPr>
          <w:rFonts w:ascii="Arial" w:eastAsia="Arial" w:hAnsi="Arial" w:cs="Arial"/>
          <w:sz w:val="22"/>
          <w:szCs w:val="22"/>
        </w:rPr>
        <w:t>k</w:t>
      </w:r>
      <w:r>
        <w:rPr>
          <w:rFonts w:ascii="Arial" w:eastAsia="Arial" w:hAnsi="Arial" w:cs="Arial"/>
          <w:color w:val="000000"/>
          <w:sz w:val="22"/>
          <w:szCs w:val="22"/>
        </w:rPr>
        <w:t xml:space="preserve">allisto as input; and 2) “HISAT2-HTSeq”: Gene </w:t>
      </w:r>
      <w:r>
        <w:rPr>
          <w:rFonts w:ascii="Arial" w:eastAsia="Arial" w:hAnsi="Arial" w:cs="Arial"/>
          <w:sz w:val="22"/>
          <w:szCs w:val="22"/>
        </w:rPr>
        <w:t>O</w:t>
      </w:r>
      <w:r>
        <w:rPr>
          <w:rFonts w:ascii="Arial" w:eastAsia="Arial" w:hAnsi="Arial" w:cs="Arial"/>
          <w:color w:val="000000"/>
          <w:sz w:val="22"/>
          <w:szCs w:val="22"/>
        </w:rPr>
        <w:t xml:space="preserve">ntology enrichment analysis performed by topGO on differentially expressed genes identified by DESeq2 when using actual gene-level counts generated by the HISAT2-HTSeq pipeline as input. </w:t>
      </w:r>
      <w:r>
        <w:rPr>
          <w:rFonts w:ascii="Arial" w:eastAsia="Arial" w:hAnsi="Arial" w:cs="Arial"/>
          <w:sz w:val="22"/>
          <w:szCs w:val="22"/>
        </w:rPr>
        <w:t>Euler</w:t>
      </w:r>
      <w:r>
        <w:rPr>
          <w:rFonts w:ascii="Arial" w:eastAsia="Arial" w:hAnsi="Arial" w:cs="Arial"/>
          <w:color w:val="000000"/>
          <w:sz w:val="22"/>
          <w:szCs w:val="22"/>
        </w:rPr>
        <w:t xml:space="preserve"> diagrams represent the overlap in enriched </w:t>
      </w:r>
      <w:r>
        <w:rPr>
          <w:rFonts w:ascii="Arial" w:eastAsia="Arial" w:hAnsi="Arial" w:cs="Arial"/>
          <w:sz w:val="22"/>
          <w:szCs w:val="22"/>
        </w:rPr>
        <w:t>G</w:t>
      </w:r>
      <w:r>
        <w:rPr>
          <w:rFonts w:ascii="Arial" w:eastAsia="Arial" w:hAnsi="Arial" w:cs="Arial"/>
          <w:color w:val="000000"/>
          <w:sz w:val="22"/>
          <w:szCs w:val="22"/>
        </w:rPr>
        <w:t xml:space="preserve">ene </w:t>
      </w:r>
      <w:r>
        <w:rPr>
          <w:rFonts w:ascii="Arial" w:eastAsia="Arial" w:hAnsi="Arial" w:cs="Arial"/>
          <w:sz w:val="22"/>
          <w:szCs w:val="22"/>
        </w:rPr>
        <w:t>O</w:t>
      </w:r>
      <w:r>
        <w:rPr>
          <w:rFonts w:ascii="Arial" w:eastAsia="Arial" w:hAnsi="Arial" w:cs="Arial"/>
          <w:color w:val="000000"/>
          <w:sz w:val="22"/>
          <w:szCs w:val="22"/>
        </w:rPr>
        <w:t>ntology terms detected by each approach for (A) cloth</w:t>
      </w:r>
      <w:r>
        <w:rPr>
          <w:rFonts w:ascii="Arial" w:eastAsia="Arial" w:hAnsi="Arial" w:cs="Arial"/>
          <w:sz w:val="22"/>
          <w:szCs w:val="22"/>
        </w:rPr>
        <w:t xml:space="preserve">ianidin-exposed </w:t>
      </w:r>
      <w:r>
        <w:rPr>
          <w:rFonts w:ascii="Arial" w:eastAsia="Arial" w:hAnsi="Arial" w:cs="Arial"/>
          <w:color w:val="000000"/>
          <w:sz w:val="22"/>
          <w:szCs w:val="22"/>
        </w:rPr>
        <w:t>queens and (B) clothia</w:t>
      </w:r>
      <w:r>
        <w:rPr>
          <w:rFonts w:ascii="Arial" w:eastAsia="Arial" w:hAnsi="Arial" w:cs="Arial"/>
          <w:sz w:val="22"/>
          <w:szCs w:val="22"/>
        </w:rPr>
        <w:t xml:space="preserve">nidin-exposed </w:t>
      </w:r>
      <w:r>
        <w:rPr>
          <w:rFonts w:ascii="Arial" w:eastAsia="Arial" w:hAnsi="Arial" w:cs="Arial"/>
          <w:color w:val="000000"/>
          <w:sz w:val="22"/>
          <w:szCs w:val="22"/>
        </w:rPr>
        <w:t>workers.</w:t>
      </w:r>
    </w:p>
    <w:p w14:paraId="70BC0A8D" w14:textId="77777777" w:rsidR="0034602B" w:rsidRDefault="0034602B">
      <w:pPr>
        <w:pStyle w:val="normal0"/>
        <w:pBdr>
          <w:top w:val="nil"/>
          <w:left w:val="nil"/>
          <w:bottom w:val="nil"/>
          <w:right w:val="nil"/>
          <w:between w:val="nil"/>
        </w:pBdr>
        <w:jc w:val="both"/>
        <w:rPr>
          <w:rFonts w:ascii="Arial" w:eastAsia="Arial" w:hAnsi="Arial" w:cs="Arial"/>
          <w:sz w:val="22"/>
          <w:szCs w:val="22"/>
        </w:rPr>
      </w:pPr>
    </w:p>
    <w:p w14:paraId="78EDABD2" w14:textId="77777777" w:rsidR="0034602B" w:rsidRDefault="001B1C9F">
      <w:pPr>
        <w:pStyle w:val="normal0"/>
        <w:pBdr>
          <w:top w:val="nil"/>
          <w:left w:val="nil"/>
          <w:bottom w:val="nil"/>
          <w:right w:val="nil"/>
          <w:between w:val="nil"/>
        </w:pBdr>
        <w:spacing w:line="360" w:lineRule="auto"/>
        <w:jc w:val="center"/>
        <w:rPr>
          <w:rFonts w:ascii="Arial" w:eastAsia="Arial" w:hAnsi="Arial" w:cs="Arial"/>
          <w:color w:val="000000"/>
          <w:sz w:val="22"/>
          <w:szCs w:val="22"/>
        </w:rPr>
      </w:pPr>
      <w:r>
        <w:rPr>
          <w:rFonts w:ascii="Arial" w:eastAsia="Arial" w:hAnsi="Arial" w:cs="Arial"/>
          <w:noProof/>
          <w:color w:val="000000"/>
          <w:sz w:val="22"/>
          <w:szCs w:val="22"/>
          <w:lang w:val="en-US"/>
        </w:rPr>
        <w:drawing>
          <wp:inline distT="0" distB="0" distL="0" distR="0" wp14:anchorId="47DBC33B" wp14:editId="54DD8666">
            <wp:extent cx="4221325" cy="5272088"/>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4221325" cy="5272088"/>
                    </a:xfrm>
                    <a:prstGeom prst="rect">
                      <a:avLst/>
                    </a:prstGeom>
                    <a:ln/>
                  </pic:spPr>
                </pic:pic>
              </a:graphicData>
            </a:graphic>
          </wp:inline>
        </w:drawing>
      </w:r>
    </w:p>
    <w:p w14:paraId="50E58702" w14:textId="77777777" w:rsidR="00BD18F1" w:rsidRDefault="00BD18F1">
      <w:pPr>
        <w:rPr>
          <w:rFonts w:ascii="Arial" w:eastAsia="Arial" w:hAnsi="Arial" w:cs="Arial"/>
          <w:color w:val="000000"/>
          <w:sz w:val="22"/>
          <w:szCs w:val="22"/>
        </w:rPr>
      </w:pPr>
      <w:bookmarkStart w:id="4" w:name="_15tjghe7drq1" w:colFirst="0" w:colLast="0"/>
      <w:bookmarkEnd w:id="4"/>
      <w:r>
        <w:rPr>
          <w:rFonts w:ascii="Arial" w:eastAsia="Arial" w:hAnsi="Arial" w:cs="Arial"/>
          <w:b/>
          <w:color w:val="000000"/>
          <w:sz w:val="22"/>
          <w:szCs w:val="22"/>
        </w:rPr>
        <w:br w:type="page"/>
      </w:r>
    </w:p>
    <w:p w14:paraId="10792AFA" w14:textId="77777777" w:rsidR="0034602B" w:rsidRDefault="001B1C9F" w:rsidP="00BD18F1">
      <w:pPr>
        <w:pStyle w:val="Heading1"/>
        <w:widowControl w:val="0"/>
        <w:spacing w:before="220"/>
        <w:rPr>
          <w:rFonts w:ascii="Arial" w:eastAsia="Arial" w:hAnsi="Arial" w:cs="Arial"/>
          <w:color w:val="000000"/>
          <w:sz w:val="28"/>
          <w:szCs w:val="28"/>
        </w:rPr>
      </w:pPr>
      <w:r>
        <w:rPr>
          <w:rFonts w:ascii="Arial" w:eastAsia="Arial" w:hAnsi="Arial" w:cs="Arial"/>
          <w:color w:val="000000"/>
          <w:sz w:val="28"/>
          <w:szCs w:val="28"/>
        </w:rPr>
        <w:lastRenderedPageBreak/>
        <w:t>References</w:t>
      </w:r>
    </w:p>
    <w:p w14:paraId="137264BB" w14:textId="77777777" w:rsidR="0034602B" w:rsidRDefault="006954B6">
      <w:pPr>
        <w:pStyle w:val="normal0"/>
        <w:widowControl w:val="0"/>
        <w:pBdr>
          <w:top w:val="nil"/>
          <w:left w:val="nil"/>
          <w:bottom w:val="nil"/>
          <w:right w:val="nil"/>
          <w:between w:val="nil"/>
        </w:pBdr>
        <w:spacing w:before="220"/>
        <w:ind w:left="440" w:hanging="440"/>
        <w:jc w:val="both"/>
        <w:rPr>
          <w:rFonts w:ascii="Arial" w:eastAsia="Arial" w:hAnsi="Arial" w:cs="Arial"/>
          <w:color w:val="000000"/>
          <w:sz w:val="22"/>
          <w:szCs w:val="22"/>
        </w:rPr>
      </w:pPr>
      <w:hyperlink r:id="rId40">
        <w:r w:rsidR="001B1C9F">
          <w:rPr>
            <w:rFonts w:ascii="Arial" w:eastAsia="Arial" w:hAnsi="Arial" w:cs="Arial"/>
            <w:color w:val="000000"/>
            <w:sz w:val="22"/>
            <w:szCs w:val="22"/>
          </w:rPr>
          <w:t xml:space="preserve">Anders S, Pyl PT, Huber W (2015) HTSeq--a Python framework to work with high-throughput sequencing data. </w:t>
        </w:r>
      </w:hyperlink>
      <w:hyperlink r:id="rId41">
        <w:r w:rsidR="001B1C9F">
          <w:rPr>
            <w:rFonts w:ascii="Arial" w:eastAsia="Arial" w:hAnsi="Arial" w:cs="Arial"/>
            <w:i/>
            <w:color w:val="000000"/>
            <w:sz w:val="22"/>
            <w:szCs w:val="22"/>
          </w:rPr>
          <w:t xml:space="preserve">Bioinformatics </w:t>
        </w:r>
      </w:hyperlink>
      <w:hyperlink r:id="rId42">
        <w:r w:rsidR="001B1C9F">
          <w:rPr>
            <w:rFonts w:ascii="Arial" w:eastAsia="Arial" w:hAnsi="Arial" w:cs="Arial"/>
            <w:color w:val="000000"/>
            <w:sz w:val="22"/>
            <w:szCs w:val="22"/>
          </w:rPr>
          <w:t xml:space="preserve">, </w:t>
        </w:r>
      </w:hyperlink>
      <w:hyperlink r:id="rId43">
        <w:r w:rsidR="001B1C9F">
          <w:rPr>
            <w:rFonts w:ascii="Arial" w:eastAsia="Arial" w:hAnsi="Arial" w:cs="Arial"/>
            <w:b/>
            <w:color w:val="000000"/>
            <w:sz w:val="22"/>
            <w:szCs w:val="22"/>
          </w:rPr>
          <w:t>31</w:t>
        </w:r>
      </w:hyperlink>
      <w:hyperlink r:id="rId44">
        <w:r w:rsidR="001B1C9F">
          <w:rPr>
            <w:rFonts w:ascii="Arial" w:eastAsia="Arial" w:hAnsi="Arial" w:cs="Arial"/>
            <w:color w:val="000000"/>
            <w:sz w:val="22"/>
            <w:szCs w:val="22"/>
          </w:rPr>
          <w:t>, 166–169.</w:t>
        </w:r>
      </w:hyperlink>
    </w:p>
    <w:p w14:paraId="268F1E58" w14:textId="77777777" w:rsidR="0034602B" w:rsidRDefault="006954B6">
      <w:pPr>
        <w:pStyle w:val="normal0"/>
        <w:widowControl w:val="0"/>
        <w:pBdr>
          <w:top w:val="nil"/>
          <w:left w:val="nil"/>
          <w:bottom w:val="nil"/>
          <w:right w:val="nil"/>
          <w:between w:val="nil"/>
        </w:pBdr>
        <w:ind w:left="440" w:hanging="440"/>
        <w:jc w:val="both"/>
        <w:rPr>
          <w:rFonts w:ascii="Arial" w:eastAsia="Arial" w:hAnsi="Arial" w:cs="Arial"/>
          <w:color w:val="000000"/>
          <w:sz w:val="22"/>
          <w:szCs w:val="22"/>
        </w:rPr>
      </w:pPr>
      <w:hyperlink r:id="rId45">
        <w:r w:rsidR="001B1C9F">
          <w:rPr>
            <w:rFonts w:ascii="Arial" w:eastAsia="Arial" w:hAnsi="Arial" w:cs="Arial"/>
            <w:color w:val="000000"/>
            <w:sz w:val="22"/>
            <w:szCs w:val="22"/>
          </w:rPr>
          <w:t xml:space="preserve">Edfors F, Danielsson F, Hallström BM </w:t>
        </w:r>
      </w:hyperlink>
      <w:hyperlink r:id="rId46">
        <w:r w:rsidR="001B1C9F">
          <w:rPr>
            <w:rFonts w:ascii="Arial" w:eastAsia="Arial" w:hAnsi="Arial" w:cs="Arial"/>
            <w:i/>
            <w:color w:val="000000"/>
            <w:sz w:val="22"/>
            <w:szCs w:val="22"/>
          </w:rPr>
          <w:t>et al.</w:t>
        </w:r>
      </w:hyperlink>
      <w:hyperlink r:id="rId47">
        <w:r w:rsidR="001B1C9F">
          <w:rPr>
            <w:rFonts w:ascii="Arial" w:eastAsia="Arial" w:hAnsi="Arial" w:cs="Arial"/>
            <w:color w:val="000000"/>
            <w:sz w:val="22"/>
            <w:szCs w:val="22"/>
          </w:rPr>
          <w:t xml:space="preserve"> (2016) Gene‐specific correlation of RNA and protein levels in human cells and tissues. </w:t>
        </w:r>
      </w:hyperlink>
      <w:hyperlink r:id="rId48">
        <w:r w:rsidR="001B1C9F">
          <w:rPr>
            <w:rFonts w:ascii="Arial" w:eastAsia="Arial" w:hAnsi="Arial" w:cs="Arial"/>
            <w:i/>
            <w:color w:val="000000"/>
            <w:sz w:val="22"/>
            <w:szCs w:val="22"/>
          </w:rPr>
          <w:t xml:space="preserve">Molecular </w:t>
        </w:r>
      </w:hyperlink>
      <w:hyperlink r:id="rId49">
        <w:r w:rsidR="001B1C9F">
          <w:rPr>
            <w:rFonts w:ascii="Arial" w:eastAsia="Arial" w:hAnsi="Arial" w:cs="Arial"/>
            <w:i/>
            <w:sz w:val="22"/>
            <w:szCs w:val="22"/>
          </w:rPr>
          <w:t>S</w:t>
        </w:r>
      </w:hyperlink>
      <w:hyperlink r:id="rId50">
        <w:r w:rsidR="001B1C9F">
          <w:rPr>
            <w:rFonts w:ascii="Arial" w:eastAsia="Arial" w:hAnsi="Arial" w:cs="Arial"/>
            <w:i/>
            <w:color w:val="000000"/>
            <w:sz w:val="22"/>
            <w:szCs w:val="22"/>
          </w:rPr>
          <w:t xml:space="preserve">ystems </w:t>
        </w:r>
      </w:hyperlink>
      <w:hyperlink r:id="rId51">
        <w:r w:rsidR="001B1C9F">
          <w:rPr>
            <w:rFonts w:ascii="Arial" w:eastAsia="Arial" w:hAnsi="Arial" w:cs="Arial"/>
            <w:i/>
            <w:sz w:val="22"/>
            <w:szCs w:val="22"/>
          </w:rPr>
          <w:t>B</w:t>
        </w:r>
      </w:hyperlink>
      <w:hyperlink r:id="rId52">
        <w:r w:rsidR="001B1C9F">
          <w:rPr>
            <w:rFonts w:ascii="Arial" w:eastAsia="Arial" w:hAnsi="Arial" w:cs="Arial"/>
            <w:i/>
            <w:color w:val="000000"/>
            <w:sz w:val="22"/>
            <w:szCs w:val="22"/>
          </w:rPr>
          <w:t>iology</w:t>
        </w:r>
      </w:hyperlink>
      <w:hyperlink r:id="rId53">
        <w:r w:rsidR="001B1C9F">
          <w:rPr>
            <w:rFonts w:ascii="Arial" w:eastAsia="Arial" w:hAnsi="Arial" w:cs="Arial"/>
            <w:color w:val="000000"/>
            <w:sz w:val="22"/>
            <w:szCs w:val="22"/>
          </w:rPr>
          <w:t xml:space="preserve">, </w:t>
        </w:r>
      </w:hyperlink>
      <w:hyperlink r:id="rId54">
        <w:r w:rsidR="001B1C9F">
          <w:rPr>
            <w:rFonts w:ascii="Arial" w:eastAsia="Arial" w:hAnsi="Arial" w:cs="Arial"/>
            <w:b/>
            <w:color w:val="000000"/>
            <w:sz w:val="22"/>
            <w:szCs w:val="22"/>
          </w:rPr>
          <w:t>12</w:t>
        </w:r>
      </w:hyperlink>
      <w:hyperlink r:id="rId55">
        <w:r w:rsidR="001B1C9F">
          <w:rPr>
            <w:rFonts w:ascii="Arial" w:eastAsia="Arial" w:hAnsi="Arial" w:cs="Arial"/>
            <w:color w:val="000000"/>
            <w:sz w:val="22"/>
            <w:szCs w:val="22"/>
          </w:rPr>
          <w:t>, 883.</w:t>
        </w:r>
      </w:hyperlink>
    </w:p>
    <w:p w14:paraId="5B8BE996" w14:textId="77777777" w:rsidR="0034602B" w:rsidRDefault="006954B6">
      <w:pPr>
        <w:pStyle w:val="normal0"/>
        <w:widowControl w:val="0"/>
        <w:pBdr>
          <w:top w:val="nil"/>
          <w:left w:val="nil"/>
          <w:bottom w:val="nil"/>
          <w:right w:val="nil"/>
          <w:between w:val="nil"/>
        </w:pBdr>
        <w:ind w:left="440" w:hanging="440"/>
        <w:jc w:val="both"/>
        <w:rPr>
          <w:rFonts w:ascii="Arial" w:eastAsia="Arial" w:hAnsi="Arial" w:cs="Arial"/>
          <w:color w:val="000000"/>
          <w:sz w:val="22"/>
          <w:szCs w:val="22"/>
        </w:rPr>
      </w:pPr>
      <w:hyperlink r:id="rId56">
        <w:r w:rsidR="001B1C9F">
          <w:rPr>
            <w:rFonts w:ascii="Arial" w:eastAsia="Arial" w:hAnsi="Arial" w:cs="Arial"/>
            <w:color w:val="000000"/>
            <w:sz w:val="22"/>
            <w:szCs w:val="22"/>
          </w:rPr>
          <w:t xml:space="preserve">Kim D, Langmead B, Salzberg SL (2015) HISAT: a fast spliced aligner with low memory requirements. </w:t>
        </w:r>
      </w:hyperlink>
      <w:hyperlink r:id="rId57">
        <w:r w:rsidR="001B1C9F">
          <w:rPr>
            <w:rFonts w:ascii="Arial" w:eastAsia="Arial" w:hAnsi="Arial" w:cs="Arial"/>
            <w:i/>
            <w:color w:val="000000"/>
            <w:sz w:val="22"/>
            <w:szCs w:val="22"/>
          </w:rPr>
          <w:t xml:space="preserve">Nature </w:t>
        </w:r>
      </w:hyperlink>
      <w:hyperlink r:id="rId58">
        <w:r w:rsidR="001B1C9F">
          <w:rPr>
            <w:rFonts w:ascii="Arial" w:eastAsia="Arial" w:hAnsi="Arial" w:cs="Arial"/>
            <w:i/>
            <w:sz w:val="22"/>
            <w:szCs w:val="22"/>
          </w:rPr>
          <w:t>M</w:t>
        </w:r>
      </w:hyperlink>
      <w:hyperlink r:id="rId59">
        <w:r w:rsidR="001B1C9F">
          <w:rPr>
            <w:rFonts w:ascii="Arial" w:eastAsia="Arial" w:hAnsi="Arial" w:cs="Arial"/>
            <w:i/>
            <w:color w:val="000000"/>
            <w:sz w:val="22"/>
            <w:szCs w:val="22"/>
          </w:rPr>
          <w:t>ethods</w:t>
        </w:r>
      </w:hyperlink>
      <w:hyperlink r:id="rId60">
        <w:r w:rsidR="001B1C9F">
          <w:rPr>
            <w:rFonts w:ascii="Arial" w:eastAsia="Arial" w:hAnsi="Arial" w:cs="Arial"/>
            <w:color w:val="000000"/>
            <w:sz w:val="22"/>
            <w:szCs w:val="22"/>
          </w:rPr>
          <w:t xml:space="preserve">, </w:t>
        </w:r>
      </w:hyperlink>
      <w:hyperlink r:id="rId61">
        <w:r w:rsidR="001B1C9F">
          <w:rPr>
            <w:rFonts w:ascii="Arial" w:eastAsia="Arial" w:hAnsi="Arial" w:cs="Arial"/>
            <w:b/>
            <w:color w:val="000000"/>
            <w:sz w:val="22"/>
            <w:szCs w:val="22"/>
          </w:rPr>
          <w:t>12</w:t>
        </w:r>
      </w:hyperlink>
      <w:hyperlink r:id="rId62">
        <w:r w:rsidR="001B1C9F">
          <w:rPr>
            <w:rFonts w:ascii="Arial" w:eastAsia="Arial" w:hAnsi="Arial" w:cs="Arial"/>
            <w:color w:val="000000"/>
            <w:sz w:val="22"/>
            <w:szCs w:val="22"/>
          </w:rPr>
          <w:t>, 357–360.</w:t>
        </w:r>
      </w:hyperlink>
    </w:p>
    <w:p w14:paraId="218D149B" w14:textId="77777777" w:rsidR="0034602B" w:rsidRDefault="006954B6">
      <w:pPr>
        <w:pStyle w:val="normal0"/>
        <w:widowControl w:val="0"/>
        <w:pBdr>
          <w:top w:val="nil"/>
          <w:left w:val="nil"/>
          <w:bottom w:val="nil"/>
          <w:right w:val="nil"/>
          <w:between w:val="nil"/>
        </w:pBdr>
        <w:ind w:left="440" w:hanging="440"/>
        <w:jc w:val="both"/>
        <w:rPr>
          <w:rFonts w:ascii="Arial" w:eastAsia="Arial" w:hAnsi="Arial" w:cs="Arial"/>
          <w:color w:val="000000"/>
          <w:sz w:val="22"/>
          <w:szCs w:val="22"/>
        </w:rPr>
      </w:pPr>
      <w:hyperlink r:id="rId63">
        <w:r w:rsidR="001B1C9F">
          <w:rPr>
            <w:rFonts w:ascii="Arial" w:eastAsia="Arial" w:hAnsi="Arial" w:cs="Arial"/>
            <w:color w:val="000000"/>
            <w:sz w:val="22"/>
            <w:szCs w:val="22"/>
          </w:rPr>
          <w:t xml:space="preserve">Lachmann A, Torre D, Keenan AB </w:t>
        </w:r>
      </w:hyperlink>
      <w:hyperlink r:id="rId64">
        <w:r w:rsidR="001B1C9F">
          <w:rPr>
            <w:rFonts w:ascii="Arial" w:eastAsia="Arial" w:hAnsi="Arial" w:cs="Arial"/>
            <w:i/>
            <w:color w:val="000000"/>
            <w:sz w:val="22"/>
            <w:szCs w:val="22"/>
          </w:rPr>
          <w:t>et al.</w:t>
        </w:r>
      </w:hyperlink>
      <w:hyperlink r:id="rId65">
        <w:r w:rsidR="001B1C9F">
          <w:rPr>
            <w:rFonts w:ascii="Arial" w:eastAsia="Arial" w:hAnsi="Arial" w:cs="Arial"/>
            <w:color w:val="000000"/>
            <w:sz w:val="22"/>
            <w:szCs w:val="22"/>
          </w:rPr>
          <w:t xml:space="preserve"> (2018) Massive mining of publicly available RNA-seq data from human and mouse. </w:t>
        </w:r>
      </w:hyperlink>
      <w:hyperlink r:id="rId66">
        <w:r w:rsidR="001B1C9F">
          <w:rPr>
            <w:rFonts w:ascii="Arial" w:eastAsia="Arial" w:hAnsi="Arial" w:cs="Arial"/>
            <w:i/>
            <w:color w:val="000000"/>
            <w:sz w:val="22"/>
            <w:szCs w:val="22"/>
          </w:rPr>
          <w:t xml:space="preserve">Nature </w:t>
        </w:r>
      </w:hyperlink>
      <w:hyperlink r:id="rId67">
        <w:r w:rsidR="001B1C9F">
          <w:rPr>
            <w:rFonts w:ascii="Arial" w:eastAsia="Arial" w:hAnsi="Arial" w:cs="Arial"/>
            <w:i/>
            <w:sz w:val="22"/>
            <w:szCs w:val="22"/>
          </w:rPr>
          <w:t>C</w:t>
        </w:r>
      </w:hyperlink>
      <w:hyperlink r:id="rId68">
        <w:r w:rsidR="001B1C9F">
          <w:rPr>
            <w:rFonts w:ascii="Arial" w:eastAsia="Arial" w:hAnsi="Arial" w:cs="Arial"/>
            <w:i/>
            <w:color w:val="000000"/>
            <w:sz w:val="22"/>
            <w:szCs w:val="22"/>
          </w:rPr>
          <w:t>ommunications</w:t>
        </w:r>
      </w:hyperlink>
      <w:hyperlink r:id="rId69">
        <w:r w:rsidR="001B1C9F">
          <w:rPr>
            <w:rFonts w:ascii="Arial" w:eastAsia="Arial" w:hAnsi="Arial" w:cs="Arial"/>
            <w:color w:val="000000"/>
            <w:sz w:val="22"/>
            <w:szCs w:val="22"/>
          </w:rPr>
          <w:t xml:space="preserve">, </w:t>
        </w:r>
      </w:hyperlink>
      <w:hyperlink r:id="rId70">
        <w:r w:rsidR="001B1C9F">
          <w:rPr>
            <w:rFonts w:ascii="Arial" w:eastAsia="Arial" w:hAnsi="Arial" w:cs="Arial"/>
            <w:b/>
            <w:color w:val="000000"/>
            <w:sz w:val="22"/>
            <w:szCs w:val="22"/>
          </w:rPr>
          <w:t>9</w:t>
        </w:r>
      </w:hyperlink>
      <w:hyperlink r:id="rId71">
        <w:r w:rsidR="001B1C9F">
          <w:rPr>
            <w:rFonts w:ascii="Arial" w:eastAsia="Arial" w:hAnsi="Arial" w:cs="Arial"/>
            <w:color w:val="000000"/>
            <w:sz w:val="22"/>
            <w:szCs w:val="22"/>
          </w:rPr>
          <w:t>, 1366.</w:t>
        </w:r>
      </w:hyperlink>
    </w:p>
    <w:p w14:paraId="3C5C547A" w14:textId="77777777" w:rsidR="0034602B" w:rsidRDefault="006954B6">
      <w:pPr>
        <w:pStyle w:val="normal0"/>
        <w:widowControl w:val="0"/>
        <w:pBdr>
          <w:top w:val="nil"/>
          <w:left w:val="nil"/>
          <w:bottom w:val="nil"/>
          <w:right w:val="nil"/>
          <w:between w:val="nil"/>
        </w:pBdr>
        <w:ind w:left="440" w:hanging="440"/>
        <w:jc w:val="both"/>
        <w:rPr>
          <w:rFonts w:ascii="Arial" w:eastAsia="Arial" w:hAnsi="Arial" w:cs="Arial"/>
          <w:color w:val="000000"/>
          <w:sz w:val="22"/>
          <w:szCs w:val="22"/>
        </w:rPr>
      </w:pPr>
      <w:hyperlink r:id="rId72">
        <w:r w:rsidR="001B1C9F">
          <w:rPr>
            <w:rFonts w:ascii="Arial" w:eastAsia="Arial" w:hAnsi="Arial" w:cs="Arial"/>
            <w:color w:val="000000"/>
            <w:sz w:val="22"/>
            <w:szCs w:val="22"/>
          </w:rPr>
          <w:t xml:space="preserve">Love MI, Huber W, Anders S (2014) Moderated estimation of fold change and dispersion for RNA-seq data with DESeq2. </w:t>
        </w:r>
      </w:hyperlink>
      <w:hyperlink r:id="rId73">
        <w:r w:rsidR="001B1C9F">
          <w:rPr>
            <w:rFonts w:ascii="Arial" w:eastAsia="Arial" w:hAnsi="Arial" w:cs="Arial"/>
            <w:i/>
            <w:color w:val="000000"/>
            <w:sz w:val="22"/>
            <w:szCs w:val="22"/>
          </w:rPr>
          <w:t xml:space="preserve">Genome </w:t>
        </w:r>
      </w:hyperlink>
      <w:hyperlink r:id="rId74">
        <w:r w:rsidR="001B1C9F">
          <w:rPr>
            <w:rFonts w:ascii="Arial" w:eastAsia="Arial" w:hAnsi="Arial" w:cs="Arial"/>
            <w:i/>
            <w:sz w:val="22"/>
            <w:szCs w:val="22"/>
          </w:rPr>
          <w:t>B</w:t>
        </w:r>
      </w:hyperlink>
      <w:hyperlink r:id="rId75">
        <w:r w:rsidR="001B1C9F">
          <w:rPr>
            <w:rFonts w:ascii="Arial" w:eastAsia="Arial" w:hAnsi="Arial" w:cs="Arial"/>
            <w:i/>
            <w:color w:val="000000"/>
            <w:sz w:val="22"/>
            <w:szCs w:val="22"/>
          </w:rPr>
          <w:t>iology</w:t>
        </w:r>
      </w:hyperlink>
      <w:hyperlink r:id="rId76">
        <w:r w:rsidR="001B1C9F">
          <w:rPr>
            <w:rFonts w:ascii="Arial" w:eastAsia="Arial" w:hAnsi="Arial" w:cs="Arial"/>
            <w:color w:val="000000"/>
            <w:sz w:val="22"/>
            <w:szCs w:val="22"/>
          </w:rPr>
          <w:t xml:space="preserve">, </w:t>
        </w:r>
      </w:hyperlink>
      <w:hyperlink r:id="rId77">
        <w:r w:rsidR="001B1C9F">
          <w:rPr>
            <w:rFonts w:ascii="Arial" w:eastAsia="Arial" w:hAnsi="Arial" w:cs="Arial"/>
            <w:b/>
            <w:color w:val="000000"/>
            <w:sz w:val="22"/>
            <w:szCs w:val="22"/>
          </w:rPr>
          <w:t>15</w:t>
        </w:r>
      </w:hyperlink>
      <w:hyperlink r:id="rId78">
        <w:r w:rsidR="001B1C9F">
          <w:rPr>
            <w:rFonts w:ascii="Arial" w:eastAsia="Arial" w:hAnsi="Arial" w:cs="Arial"/>
            <w:color w:val="000000"/>
            <w:sz w:val="22"/>
            <w:szCs w:val="22"/>
          </w:rPr>
          <w:t>, 550.</w:t>
        </w:r>
      </w:hyperlink>
    </w:p>
    <w:p w14:paraId="3D21A1D0" w14:textId="77777777" w:rsidR="0034602B" w:rsidRDefault="006954B6">
      <w:pPr>
        <w:pStyle w:val="normal0"/>
        <w:widowControl w:val="0"/>
        <w:pBdr>
          <w:top w:val="nil"/>
          <w:left w:val="nil"/>
          <w:bottom w:val="nil"/>
          <w:right w:val="nil"/>
          <w:between w:val="nil"/>
        </w:pBdr>
        <w:ind w:left="440" w:hanging="440"/>
        <w:jc w:val="both"/>
        <w:rPr>
          <w:rFonts w:ascii="Arial" w:eastAsia="Arial" w:hAnsi="Arial" w:cs="Arial"/>
          <w:color w:val="000000"/>
          <w:sz w:val="22"/>
          <w:szCs w:val="22"/>
        </w:rPr>
      </w:pPr>
      <w:hyperlink r:id="rId79">
        <w:r w:rsidR="001B1C9F">
          <w:rPr>
            <w:rFonts w:ascii="Arial" w:eastAsia="Arial" w:hAnsi="Arial" w:cs="Arial"/>
            <w:color w:val="000000"/>
            <w:sz w:val="22"/>
            <w:szCs w:val="22"/>
          </w:rPr>
          <w:t xml:space="preserve">Mukherjee N, Calviello L, Hirsekorn A </w:t>
        </w:r>
      </w:hyperlink>
      <w:hyperlink r:id="rId80">
        <w:r w:rsidR="001B1C9F">
          <w:rPr>
            <w:rFonts w:ascii="Arial" w:eastAsia="Arial" w:hAnsi="Arial" w:cs="Arial"/>
            <w:i/>
            <w:color w:val="000000"/>
            <w:sz w:val="22"/>
            <w:szCs w:val="22"/>
          </w:rPr>
          <w:t>et al.</w:t>
        </w:r>
      </w:hyperlink>
      <w:hyperlink r:id="rId81">
        <w:r w:rsidR="001B1C9F">
          <w:rPr>
            <w:rFonts w:ascii="Arial" w:eastAsia="Arial" w:hAnsi="Arial" w:cs="Arial"/>
            <w:color w:val="000000"/>
            <w:sz w:val="22"/>
            <w:szCs w:val="22"/>
          </w:rPr>
          <w:t xml:space="preserve"> (2017) Integrative classification of human coding and noncoding genes through RNA metabolism profiles. </w:t>
        </w:r>
      </w:hyperlink>
      <w:hyperlink r:id="rId82">
        <w:r w:rsidR="001B1C9F">
          <w:rPr>
            <w:rFonts w:ascii="Arial" w:eastAsia="Arial" w:hAnsi="Arial" w:cs="Arial"/>
            <w:i/>
            <w:color w:val="000000"/>
            <w:sz w:val="22"/>
            <w:szCs w:val="22"/>
          </w:rPr>
          <w:t xml:space="preserve">Nature </w:t>
        </w:r>
      </w:hyperlink>
      <w:hyperlink r:id="rId83">
        <w:r w:rsidR="001B1C9F">
          <w:rPr>
            <w:rFonts w:ascii="Arial" w:eastAsia="Arial" w:hAnsi="Arial" w:cs="Arial"/>
            <w:i/>
            <w:sz w:val="22"/>
            <w:szCs w:val="22"/>
          </w:rPr>
          <w:t>S</w:t>
        </w:r>
      </w:hyperlink>
      <w:hyperlink r:id="rId84">
        <w:r w:rsidR="001B1C9F">
          <w:rPr>
            <w:rFonts w:ascii="Arial" w:eastAsia="Arial" w:hAnsi="Arial" w:cs="Arial"/>
            <w:i/>
            <w:color w:val="000000"/>
            <w:sz w:val="22"/>
            <w:szCs w:val="22"/>
          </w:rPr>
          <w:t xml:space="preserve">tructural &amp; </w:t>
        </w:r>
      </w:hyperlink>
      <w:hyperlink r:id="rId85">
        <w:r w:rsidR="001B1C9F">
          <w:rPr>
            <w:rFonts w:ascii="Arial" w:eastAsia="Arial" w:hAnsi="Arial" w:cs="Arial"/>
            <w:i/>
            <w:sz w:val="22"/>
            <w:szCs w:val="22"/>
          </w:rPr>
          <w:t>M</w:t>
        </w:r>
      </w:hyperlink>
      <w:hyperlink r:id="rId86">
        <w:r w:rsidR="001B1C9F">
          <w:rPr>
            <w:rFonts w:ascii="Arial" w:eastAsia="Arial" w:hAnsi="Arial" w:cs="Arial"/>
            <w:i/>
            <w:color w:val="000000"/>
            <w:sz w:val="22"/>
            <w:szCs w:val="22"/>
          </w:rPr>
          <w:t xml:space="preserve">olecular </w:t>
        </w:r>
      </w:hyperlink>
      <w:hyperlink r:id="rId87">
        <w:r w:rsidR="001B1C9F">
          <w:rPr>
            <w:rFonts w:ascii="Arial" w:eastAsia="Arial" w:hAnsi="Arial" w:cs="Arial"/>
            <w:i/>
            <w:sz w:val="22"/>
            <w:szCs w:val="22"/>
          </w:rPr>
          <w:t>B</w:t>
        </w:r>
      </w:hyperlink>
      <w:hyperlink r:id="rId88">
        <w:r w:rsidR="001B1C9F">
          <w:rPr>
            <w:rFonts w:ascii="Arial" w:eastAsia="Arial" w:hAnsi="Arial" w:cs="Arial"/>
            <w:i/>
            <w:color w:val="000000"/>
            <w:sz w:val="22"/>
            <w:szCs w:val="22"/>
          </w:rPr>
          <w:t>iology</w:t>
        </w:r>
      </w:hyperlink>
      <w:hyperlink r:id="rId89">
        <w:r w:rsidR="001B1C9F">
          <w:rPr>
            <w:rFonts w:ascii="Arial" w:eastAsia="Arial" w:hAnsi="Arial" w:cs="Arial"/>
            <w:color w:val="000000"/>
            <w:sz w:val="22"/>
            <w:szCs w:val="22"/>
          </w:rPr>
          <w:t xml:space="preserve">, </w:t>
        </w:r>
      </w:hyperlink>
      <w:hyperlink r:id="rId90">
        <w:r w:rsidR="001B1C9F">
          <w:rPr>
            <w:rFonts w:ascii="Arial" w:eastAsia="Arial" w:hAnsi="Arial" w:cs="Arial"/>
            <w:b/>
            <w:color w:val="000000"/>
            <w:sz w:val="22"/>
            <w:szCs w:val="22"/>
          </w:rPr>
          <w:t>24</w:t>
        </w:r>
      </w:hyperlink>
      <w:hyperlink r:id="rId91">
        <w:r w:rsidR="001B1C9F">
          <w:rPr>
            <w:rFonts w:ascii="Arial" w:eastAsia="Arial" w:hAnsi="Arial" w:cs="Arial"/>
            <w:color w:val="000000"/>
            <w:sz w:val="22"/>
            <w:szCs w:val="22"/>
          </w:rPr>
          <w:t>, 86–96.</w:t>
        </w:r>
      </w:hyperlink>
    </w:p>
    <w:p w14:paraId="4E498C11" w14:textId="77777777" w:rsidR="0034602B" w:rsidRDefault="006954B6">
      <w:pPr>
        <w:pStyle w:val="normal0"/>
        <w:widowControl w:val="0"/>
        <w:pBdr>
          <w:top w:val="nil"/>
          <w:left w:val="nil"/>
          <w:bottom w:val="nil"/>
          <w:right w:val="nil"/>
          <w:between w:val="nil"/>
        </w:pBdr>
        <w:ind w:left="440" w:hanging="440"/>
        <w:jc w:val="both"/>
        <w:rPr>
          <w:rFonts w:ascii="Arial" w:eastAsia="Arial" w:hAnsi="Arial" w:cs="Arial"/>
          <w:color w:val="000000"/>
          <w:sz w:val="22"/>
          <w:szCs w:val="22"/>
        </w:rPr>
      </w:pPr>
      <w:hyperlink r:id="rId92">
        <w:r w:rsidR="001B1C9F">
          <w:rPr>
            <w:rFonts w:ascii="Arial" w:eastAsia="Arial" w:hAnsi="Arial" w:cs="Arial"/>
            <w:color w:val="000000"/>
            <w:sz w:val="22"/>
            <w:szCs w:val="22"/>
          </w:rPr>
          <w:t xml:space="preserve">Mumbach MR, Satpathy AT, Boyle EA </w:t>
        </w:r>
      </w:hyperlink>
      <w:hyperlink r:id="rId93">
        <w:r w:rsidR="001B1C9F">
          <w:rPr>
            <w:rFonts w:ascii="Arial" w:eastAsia="Arial" w:hAnsi="Arial" w:cs="Arial"/>
            <w:i/>
            <w:color w:val="000000"/>
            <w:sz w:val="22"/>
            <w:szCs w:val="22"/>
          </w:rPr>
          <w:t>et al.</w:t>
        </w:r>
      </w:hyperlink>
      <w:hyperlink r:id="rId94">
        <w:r w:rsidR="001B1C9F">
          <w:rPr>
            <w:rFonts w:ascii="Arial" w:eastAsia="Arial" w:hAnsi="Arial" w:cs="Arial"/>
            <w:color w:val="000000"/>
            <w:sz w:val="22"/>
            <w:szCs w:val="22"/>
          </w:rPr>
          <w:t xml:space="preserve"> (2017) Enhancer connectome in primary human cells identifies target genes of disease-associated DNA elements. </w:t>
        </w:r>
      </w:hyperlink>
      <w:hyperlink r:id="rId95">
        <w:r w:rsidR="001B1C9F">
          <w:rPr>
            <w:rFonts w:ascii="Arial" w:eastAsia="Arial" w:hAnsi="Arial" w:cs="Arial"/>
            <w:i/>
            <w:color w:val="000000"/>
            <w:sz w:val="22"/>
            <w:szCs w:val="22"/>
          </w:rPr>
          <w:t xml:space="preserve">Nature </w:t>
        </w:r>
      </w:hyperlink>
      <w:hyperlink r:id="rId96">
        <w:r w:rsidR="001B1C9F">
          <w:rPr>
            <w:rFonts w:ascii="Arial" w:eastAsia="Arial" w:hAnsi="Arial" w:cs="Arial"/>
            <w:i/>
            <w:sz w:val="22"/>
            <w:szCs w:val="22"/>
          </w:rPr>
          <w:t>G</w:t>
        </w:r>
      </w:hyperlink>
      <w:hyperlink r:id="rId97">
        <w:r w:rsidR="001B1C9F">
          <w:rPr>
            <w:rFonts w:ascii="Arial" w:eastAsia="Arial" w:hAnsi="Arial" w:cs="Arial"/>
            <w:i/>
            <w:color w:val="000000"/>
            <w:sz w:val="22"/>
            <w:szCs w:val="22"/>
          </w:rPr>
          <w:t>enetics</w:t>
        </w:r>
      </w:hyperlink>
      <w:hyperlink r:id="rId98">
        <w:r w:rsidR="001B1C9F">
          <w:rPr>
            <w:rFonts w:ascii="Arial" w:eastAsia="Arial" w:hAnsi="Arial" w:cs="Arial"/>
            <w:color w:val="000000"/>
            <w:sz w:val="22"/>
            <w:szCs w:val="22"/>
          </w:rPr>
          <w:t xml:space="preserve">, </w:t>
        </w:r>
      </w:hyperlink>
      <w:hyperlink r:id="rId99">
        <w:r w:rsidR="001B1C9F">
          <w:rPr>
            <w:rFonts w:ascii="Arial" w:eastAsia="Arial" w:hAnsi="Arial" w:cs="Arial"/>
            <w:b/>
            <w:color w:val="000000"/>
            <w:sz w:val="22"/>
            <w:szCs w:val="22"/>
          </w:rPr>
          <w:t>49</w:t>
        </w:r>
      </w:hyperlink>
      <w:hyperlink r:id="rId100">
        <w:r w:rsidR="001B1C9F">
          <w:rPr>
            <w:rFonts w:ascii="Arial" w:eastAsia="Arial" w:hAnsi="Arial" w:cs="Arial"/>
            <w:color w:val="000000"/>
            <w:sz w:val="22"/>
            <w:szCs w:val="22"/>
          </w:rPr>
          <w:t>, 1602–1612.</w:t>
        </w:r>
      </w:hyperlink>
    </w:p>
    <w:p w14:paraId="768F4A67" w14:textId="77777777" w:rsidR="0034602B" w:rsidRDefault="006954B6">
      <w:pPr>
        <w:pStyle w:val="normal0"/>
        <w:widowControl w:val="0"/>
        <w:pBdr>
          <w:top w:val="nil"/>
          <w:left w:val="nil"/>
          <w:bottom w:val="nil"/>
          <w:right w:val="nil"/>
          <w:between w:val="nil"/>
        </w:pBdr>
        <w:ind w:left="440" w:hanging="440"/>
        <w:jc w:val="both"/>
        <w:rPr>
          <w:rFonts w:ascii="Arial" w:eastAsia="Arial" w:hAnsi="Arial" w:cs="Arial"/>
          <w:color w:val="000000"/>
          <w:sz w:val="22"/>
          <w:szCs w:val="22"/>
        </w:rPr>
      </w:pPr>
      <w:hyperlink r:id="rId101">
        <w:r w:rsidR="001B1C9F">
          <w:rPr>
            <w:rFonts w:ascii="Arial" w:eastAsia="Arial" w:hAnsi="Arial" w:cs="Arial"/>
            <w:color w:val="000000"/>
            <w:sz w:val="22"/>
            <w:szCs w:val="22"/>
          </w:rPr>
          <w:t xml:space="preserve">Reyes A, Anders S, Weatheritt RJ </w:t>
        </w:r>
      </w:hyperlink>
      <w:hyperlink r:id="rId102">
        <w:r w:rsidR="001B1C9F">
          <w:rPr>
            <w:rFonts w:ascii="Arial" w:eastAsia="Arial" w:hAnsi="Arial" w:cs="Arial"/>
            <w:i/>
            <w:color w:val="000000"/>
            <w:sz w:val="22"/>
            <w:szCs w:val="22"/>
          </w:rPr>
          <w:t>et al.</w:t>
        </w:r>
      </w:hyperlink>
      <w:hyperlink r:id="rId103">
        <w:r w:rsidR="001B1C9F">
          <w:rPr>
            <w:rFonts w:ascii="Arial" w:eastAsia="Arial" w:hAnsi="Arial" w:cs="Arial"/>
            <w:color w:val="000000"/>
            <w:sz w:val="22"/>
            <w:szCs w:val="22"/>
          </w:rPr>
          <w:t xml:space="preserve"> (2013) Drift and conservation of differential exon usage across tissues in primate species. </w:t>
        </w:r>
      </w:hyperlink>
      <w:hyperlink r:id="rId104">
        <w:r w:rsidR="001B1C9F">
          <w:rPr>
            <w:rFonts w:ascii="Arial" w:eastAsia="Arial" w:hAnsi="Arial" w:cs="Arial"/>
            <w:i/>
            <w:color w:val="000000"/>
            <w:sz w:val="22"/>
            <w:szCs w:val="22"/>
          </w:rPr>
          <w:t>Proceedings of the National Academy of Sciences of the United States of America</w:t>
        </w:r>
      </w:hyperlink>
      <w:hyperlink r:id="rId105">
        <w:r w:rsidR="001B1C9F">
          <w:rPr>
            <w:rFonts w:ascii="Arial" w:eastAsia="Arial" w:hAnsi="Arial" w:cs="Arial"/>
            <w:color w:val="000000"/>
            <w:sz w:val="22"/>
            <w:szCs w:val="22"/>
          </w:rPr>
          <w:t xml:space="preserve">, </w:t>
        </w:r>
      </w:hyperlink>
      <w:hyperlink r:id="rId106">
        <w:r w:rsidR="001B1C9F">
          <w:rPr>
            <w:rFonts w:ascii="Arial" w:eastAsia="Arial" w:hAnsi="Arial" w:cs="Arial"/>
            <w:b/>
            <w:color w:val="000000"/>
            <w:sz w:val="22"/>
            <w:szCs w:val="22"/>
          </w:rPr>
          <w:t>110</w:t>
        </w:r>
      </w:hyperlink>
      <w:hyperlink r:id="rId107">
        <w:r w:rsidR="001B1C9F">
          <w:rPr>
            <w:rFonts w:ascii="Arial" w:eastAsia="Arial" w:hAnsi="Arial" w:cs="Arial"/>
            <w:color w:val="000000"/>
            <w:sz w:val="22"/>
            <w:szCs w:val="22"/>
          </w:rPr>
          <w:t>, 15377–15382.</w:t>
        </w:r>
      </w:hyperlink>
    </w:p>
    <w:p w14:paraId="722656A3" w14:textId="77777777" w:rsidR="0034602B" w:rsidRDefault="006954B6">
      <w:pPr>
        <w:pStyle w:val="normal0"/>
        <w:widowControl w:val="0"/>
        <w:pBdr>
          <w:top w:val="nil"/>
          <w:left w:val="nil"/>
          <w:bottom w:val="nil"/>
          <w:right w:val="nil"/>
          <w:between w:val="nil"/>
        </w:pBdr>
        <w:ind w:left="440" w:hanging="440"/>
        <w:jc w:val="both"/>
        <w:rPr>
          <w:rFonts w:ascii="Arial" w:eastAsia="Arial" w:hAnsi="Arial" w:cs="Arial"/>
          <w:color w:val="000000"/>
          <w:sz w:val="22"/>
          <w:szCs w:val="22"/>
        </w:rPr>
      </w:pPr>
      <w:hyperlink r:id="rId108">
        <w:r w:rsidR="001B1C9F">
          <w:rPr>
            <w:rFonts w:ascii="Arial" w:eastAsia="Arial" w:hAnsi="Arial" w:cs="Arial"/>
            <w:color w:val="000000"/>
            <w:sz w:val="22"/>
            <w:szCs w:val="22"/>
          </w:rPr>
          <w:t xml:space="preserve">Sahraeian SME, Mohiyuddin M, Sebra R </w:t>
        </w:r>
      </w:hyperlink>
      <w:hyperlink r:id="rId109">
        <w:r w:rsidR="001B1C9F">
          <w:rPr>
            <w:rFonts w:ascii="Arial" w:eastAsia="Arial" w:hAnsi="Arial" w:cs="Arial"/>
            <w:i/>
            <w:color w:val="000000"/>
            <w:sz w:val="22"/>
            <w:szCs w:val="22"/>
          </w:rPr>
          <w:t>et al.</w:t>
        </w:r>
      </w:hyperlink>
      <w:hyperlink r:id="rId110">
        <w:r w:rsidR="001B1C9F">
          <w:rPr>
            <w:rFonts w:ascii="Arial" w:eastAsia="Arial" w:hAnsi="Arial" w:cs="Arial"/>
            <w:color w:val="000000"/>
            <w:sz w:val="22"/>
            <w:szCs w:val="22"/>
          </w:rPr>
          <w:t xml:space="preserve"> (2017) Gaining comprehensive biological insight into the transcriptome by performing a broad-spectrum RNA-seq analysis. </w:t>
        </w:r>
      </w:hyperlink>
      <w:hyperlink r:id="rId111">
        <w:r w:rsidR="001B1C9F">
          <w:rPr>
            <w:rFonts w:ascii="Arial" w:eastAsia="Arial" w:hAnsi="Arial" w:cs="Arial"/>
            <w:i/>
            <w:color w:val="000000"/>
            <w:sz w:val="22"/>
            <w:szCs w:val="22"/>
          </w:rPr>
          <w:t xml:space="preserve">Nature </w:t>
        </w:r>
      </w:hyperlink>
      <w:hyperlink r:id="rId112">
        <w:r w:rsidR="001B1C9F">
          <w:rPr>
            <w:rFonts w:ascii="Arial" w:eastAsia="Arial" w:hAnsi="Arial" w:cs="Arial"/>
            <w:i/>
            <w:sz w:val="22"/>
            <w:szCs w:val="22"/>
          </w:rPr>
          <w:t>C</w:t>
        </w:r>
      </w:hyperlink>
      <w:hyperlink r:id="rId113">
        <w:r w:rsidR="001B1C9F">
          <w:rPr>
            <w:rFonts w:ascii="Arial" w:eastAsia="Arial" w:hAnsi="Arial" w:cs="Arial"/>
            <w:i/>
            <w:color w:val="000000"/>
            <w:sz w:val="22"/>
            <w:szCs w:val="22"/>
          </w:rPr>
          <w:t>ommunications</w:t>
        </w:r>
      </w:hyperlink>
      <w:hyperlink r:id="rId114">
        <w:r w:rsidR="001B1C9F">
          <w:rPr>
            <w:rFonts w:ascii="Arial" w:eastAsia="Arial" w:hAnsi="Arial" w:cs="Arial"/>
            <w:color w:val="000000"/>
            <w:sz w:val="22"/>
            <w:szCs w:val="22"/>
          </w:rPr>
          <w:t xml:space="preserve">, </w:t>
        </w:r>
      </w:hyperlink>
      <w:hyperlink r:id="rId115">
        <w:r w:rsidR="001B1C9F">
          <w:rPr>
            <w:rFonts w:ascii="Arial" w:eastAsia="Arial" w:hAnsi="Arial" w:cs="Arial"/>
            <w:b/>
            <w:color w:val="000000"/>
            <w:sz w:val="22"/>
            <w:szCs w:val="22"/>
          </w:rPr>
          <w:t>8</w:t>
        </w:r>
      </w:hyperlink>
      <w:hyperlink r:id="rId116">
        <w:r w:rsidR="001B1C9F">
          <w:rPr>
            <w:rFonts w:ascii="Arial" w:eastAsia="Arial" w:hAnsi="Arial" w:cs="Arial"/>
            <w:color w:val="000000"/>
            <w:sz w:val="22"/>
            <w:szCs w:val="22"/>
          </w:rPr>
          <w:t>, 59.</w:t>
        </w:r>
      </w:hyperlink>
    </w:p>
    <w:p w14:paraId="1D417C35" w14:textId="4CA1FF48" w:rsidR="0034602B" w:rsidRDefault="006954B6" w:rsidP="004E6E24">
      <w:pPr>
        <w:pStyle w:val="normal0"/>
        <w:widowControl w:val="0"/>
        <w:pBdr>
          <w:top w:val="nil"/>
          <w:left w:val="nil"/>
          <w:bottom w:val="nil"/>
          <w:right w:val="nil"/>
          <w:between w:val="nil"/>
        </w:pBdr>
        <w:spacing w:after="220"/>
        <w:ind w:left="440" w:hanging="440"/>
        <w:jc w:val="both"/>
        <w:rPr>
          <w:rFonts w:ascii="Arial" w:eastAsia="Arial" w:hAnsi="Arial" w:cs="Arial"/>
          <w:color w:val="000000"/>
          <w:sz w:val="22"/>
          <w:szCs w:val="22"/>
        </w:rPr>
      </w:pPr>
      <w:hyperlink r:id="rId117">
        <w:r w:rsidR="001B1C9F">
          <w:rPr>
            <w:rFonts w:ascii="Arial" w:eastAsia="Arial" w:hAnsi="Arial" w:cs="Arial"/>
            <w:color w:val="000000"/>
            <w:sz w:val="22"/>
            <w:szCs w:val="22"/>
          </w:rPr>
          <w:t xml:space="preserve">Thul PJ, Åkesson L, Wiking M </w:t>
        </w:r>
      </w:hyperlink>
      <w:hyperlink r:id="rId118">
        <w:r w:rsidR="001B1C9F">
          <w:rPr>
            <w:rFonts w:ascii="Arial" w:eastAsia="Arial" w:hAnsi="Arial" w:cs="Arial"/>
            <w:i/>
            <w:color w:val="000000"/>
            <w:sz w:val="22"/>
            <w:szCs w:val="22"/>
          </w:rPr>
          <w:t>et al.</w:t>
        </w:r>
      </w:hyperlink>
      <w:hyperlink r:id="rId119">
        <w:r w:rsidR="001B1C9F">
          <w:rPr>
            <w:rFonts w:ascii="Arial" w:eastAsia="Arial" w:hAnsi="Arial" w:cs="Arial"/>
            <w:color w:val="000000"/>
            <w:sz w:val="22"/>
            <w:szCs w:val="22"/>
          </w:rPr>
          <w:t xml:space="preserve"> (2017) A subcellular map of the human proteome. </w:t>
        </w:r>
      </w:hyperlink>
      <w:hyperlink r:id="rId120">
        <w:r w:rsidR="001B1C9F">
          <w:rPr>
            <w:rFonts w:ascii="Arial" w:eastAsia="Arial" w:hAnsi="Arial" w:cs="Arial"/>
            <w:i/>
            <w:color w:val="000000"/>
            <w:sz w:val="22"/>
            <w:szCs w:val="22"/>
          </w:rPr>
          <w:t>Science</w:t>
        </w:r>
      </w:hyperlink>
      <w:hyperlink r:id="rId121">
        <w:r w:rsidR="001B1C9F">
          <w:rPr>
            <w:rFonts w:ascii="Arial" w:eastAsia="Arial" w:hAnsi="Arial" w:cs="Arial"/>
            <w:color w:val="000000"/>
            <w:sz w:val="22"/>
            <w:szCs w:val="22"/>
          </w:rPr>
          <w:t xml:space="preserve">, </w:t>
        </w:r>
      </w:hyperlink>
      <w:hyperlink r:id="rId122">
        <w:r w:rsidR="001B1C9F">
          <w:rPr>
            <w:rFonts w:ascii="Arial" w:eastAsia="Arial" w:hAnsi="Arial" w:cs="Arial"/>
            <w:b/>
            <w:color w:val="000000"/>
            <w:sz w:val="22"/>
            <w:szCs w:val="22"/>
          </w:rPr>
          <w:t>356</w:t>
        </w:r>
      </w:hyperlink>
      <w:hyperlink r:id="rId123">
        <w:r w:rsidR="001B1C9F">
          <w:rPr>
            <w:rFonts w:ascii="Arial" w:eastAsia="Arial" w:hAnsi="Arial" w:cs="Arial"/>
            <w:color w:val="000000"/>
            <w:sz w:val="22"/>
            <w:szCs w:val="22"/>
          </w:rPr>
          <w:t>.</w:t>
        </w:r>
      </w:hyperlink>
    </w:p>
    <w:sectPr w:rsidR="0034602B" w:rsidSect="00BD18F1">
      <w:headerReference w:type="default" r:id="rId124"/>
      <w:footerReference w:type="default" r:id="rId125"/>
      <w:pgSz w:w="12240" w:h="15840"/>
      <w:pgMar w:top="1440" w:right="1440" w:bottom="1440" w:left="1440" w:header="720" w:footer="720" w:gutter="0"/>
      <w:lnNumType w:countBy="1" w:restart="continuous"/>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1DFD25" w14:textId="77777777" w:rsidR="006954B6" w:rsidRDefault="006954B6">
      <w:r>
        <w:separator/>
      </w:r>
    </w:p>
  </w:endnote>
  <w:endnote w:type="continuationSeparator" w:id="0">
    <w:p w14:paraId="31A21212" w14:textId="77777777" w:rsidR="006954B6" w:rsidRDefault="00695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0396C" w14:textId="77777777" w:rsidR="006954B6" w:rsidRDefault="006954B6">
    <w:pPr>
      <w:pStyle w:val="normal0"/>
      <w:ind w:right="5040"/>
      <w:rPr>
        <w:rFonts w:ascii="Arial" w:eastAsia="Arial" w:hAnsi="Arial" w:cs="Arial"/>
        <w:sz w:val="20"/>
        <w:szCs w:val="20"/>
        <w:highlight w:val="white"/>
      </w:rPr>
    </w:pPr>
  </w:p>
  <w:p w14:paraId="0037D48E" w14:textId="77777777" w:rsidR="006954B6" w:rsidRDefault="006954B6">
    <w:pPr>
      <w:pStyle w:val="normal0"/>
      <w:ind w:right="5040"/>
      <w:rPr>
        <w:b/>
        <w:sz w:val="20"/>
        <w:szCs w:val="20"/>
      </w:rPr>
    </w:pPr>
  </w:p>
  <w:p w14:paraId="78E209C6" w14:textId="77777777" w:rsidR="006954B6" w:rsidRDefault="006954B6">
    <w:pPr>
      <w:pStyle w:val="normal0"/>
      <w:pBdr>
        <w:top w:val="nil"/>
        <w:left w:val="nil"/>
        <w:bottom w:val="nil"/>
        <w:right w:val="nil"/>
        <w:between w:val="nil"/>
      </w:pBdr>
      <w:tabs>
        <w:tab w:val="center" w:pos="4680"/>
        <w:tab w:val="right" w:pos="9360"/>
      </w:tabs>
      <w:rPr>
        <w:rFonts w:ascii="Arial" w:eastAsia="Arial" w:hAnsi="Arial" w:cs="Arial"/>
        <w:b/>
        <w:sz w:val="22"/>
        <w:szCs w:val="22"/>
        <w:highlight w:val="white"/>
      </w:rPr>
    </w:pPr>
    <w:r>
      <w:rPr>
        <w:rFonts w:ascii="Arial" w:eastAsia="Arial" w:hAnsi="Arial" w:cs="Arial"/>
        <w:b/>
        <w:sz w:val="22"/>
        <w:szCs w:val="22"/>
        <w:highlight w:val="white"/>
      </w:rPr>
      <w:t>Colgan</w:t>
    </w:r>
    <w:r>
      <w:rPr>
        <w:rFonts w:ascii="Arial" w:eastAsia="Arial" w:hAnsi="Arial" w:cs="Arial"/>
        <w:b/>
        <w:i/>
        <w:sz w:val="22"/>
        <w:szCs w:val="22"/>
        <w:highlight w:val="white"/>
      </w:rPr>
      <w:t xml:space="preserve"> et al</w:t>
    </w:r>
    <w:r>
      <w:rPr>
        <w:rFonts w:ascii="Arial" w:eastAsia="Arial" w:hAnsi="Arial" w:cs="Arial"/>
        <w:b/>
        <w:sz w:val="22"/>
        <w:szCs w:val="22"/>
        <w:highlight w:val="white"/>
      </w:rPr>
      <w:t xml:space="preserve"> (2019) Neonicotinoids affect queen and worker bees</w:t>
    </w:r>
    <w:r>
      <w:rPr>
        <w:rFonts w:ascii="Arial" w:eastAsia="Arial" w:hAnsi="Arial" w:cs="Arial"/>
        <w:sz w:val="22"/>
        <w:szCs w:val="22"/>
      </w:rPr>
      <w:tab/>
    </w: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A40D65">
      <w:rPr>
        <w:rFonts w:ascii="Arial" w:eastAsia="Arial" w:hAnsi="Arial" w:cs="Arial"/>
        <w:noProof/>
        <w:color w:val="000000"/>
        <w:sz w:val="22"/>
        <w:szCs w:val="22"/>
      </w:rPr>
      <w:t>1</w:t>
    </w:r>
    <w:r>
      <w:rPr>
        <w:rFonts w:ascii="Arial" w:eastAsia="Arial" w:hAnsi="Arial" w:cs="Arial"/>
        <w:color w:val="000000"/>
        <w:sz w:val="22"/>
        <w:szCs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79DA55" w14:textId="77777777" w:rsidR="006954B6" w:rsidRDefault="006954B6">
      <w:r>
        <w:separator/>
      </w:r>
    </w:p>
  </w:footnote>
  <w:footnote w:type="continuationSeparator" w:id="0">
    <w:p w14:paraId="5835BFE6" w14:textId="77777777" w:rsidR="006954B6" w:rsidRDefault="006954B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E76F8" w14:textId="77777777" w:rsidR="006954B6" w:rsidRDefault="006954B6">
    <w:pPr>
      <w:pStyle w:val="normal0"/>
      <w:pBdr>
        <w:top w:val="nil"/>
        <w:left w:val="nil"/>
        <w:bottom w:val="nil"/>
        <w:right w:val="nil"/>
        <w:between w:val="nil"/>
      </w:pBdr>
      <w:tabs>
        <w:tab w:val="center" w:pos="4680"/>
        <w:tab w:val="right" w:pos="9360"/>
      </w:tabs>
      <w:jc w:val="center"/>
      <w:rPr>
        <w:color w:val="000000"/>
      </w:rPr>
    </w:pPr>
    <w:r>
      <w:rPr>
        <w:noProof/>
        <w:color w:val="000000"/>
        <w:lang w:val="en-US"/>
      </w:rPr>
      <w:drawing>
        <wp:inline distT="0" distB="0" distL="0" distR="0" wp14:anchorId="15D74AF4" wp14:editId="7F631D6C">
          <wp:extent cx="5900738" cy="590550"/>
          <wp:effectExtent l="0" t="0" r="0" b="0"/>
          <wp:docPr id="6" name="image4.gif"/>
          <wp:cNvGraphicFramePr/>
          <a:graphic xmlns:a="http://schemas.openxmlformats.org/drawingml/2006/main">
            <a:graphicData uri="http://schemas.openxmlformats.org/drawingml/2006/picture">
              <pic:pic xmlns:pic="http://schemas.openxmlformats.org/drawingml/2006/picture">
                <pic:nvPicPr>
                  <pic:cNvPr id="0" name="image4.gif"/>
                  <pic:cNvPicPr preferRelativeResize="0"/>
                </pic:nvPicPr>
                <pic:blipFill>
                  <a:blip r:embed="rId1"/>
                  <a:srcRect b="35416"/>
                  <a:stretch>
                    <a:fillRect/>
                  </a:stretch>
                </pic:blipFill>
                <pic:spPr>
                  <a:xfrm>
                    <a:off x="0" y="0"/>
                    <a:ext cx="5900738" cy="590550"/>
                  </a:xfrm>
                  <a:prstGeom prst="rect">
                    <a:avLst/>
                  </a:prstGeom>
                  <a:ln/>
                </pic:spPr>
              </pic:pic>
            </a:graphicData>
          </a:graphic>
        </wp:inline>
      </w:drawing>
    </w:r>
  </w:p>
  <w:p w14:paraId="1366F066" w14:textId="77777777" w:rsidR="006954B6" w:rsidRDefault="006954B6">
    <w:pPr>
      <w:pStyle w:val="normal0"/>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E460EB"/>
    <w:multiLevelType w:val="multilevel"/>
    <w:tmpl w:val="B776C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5A552AD5"/>
    <w:multiLevelType w:val="multilevel"/>
    <w:tmpl w:val="B2DEA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4602B"/>
    <w:rsid w:val="001B1C9F"/>
    <w:rsid w:val="0034602B"/>
    <w:rsid w:val="004447C8"/>
    <w:rsid w:val="004E6E24"/>
    <w:rsid w:val="006954B6"/>
    <w:rsid w:val="006C03E6"/>
    <w:rsid w:val="006E5CFA"/>
    <w:rsid w:val="00834A1C"/>
    <w:rsid w:val="0098402B"/>
    <w:rsid w:val="00A40D65"/>
    <w:rsid w:val="00B71CD4"/>
    <w:rsid w:val="00BD18F1"/>
    <w:rsid w:val="00C928EA"/>
    <w:rsid w:val="00DA4E1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C4BA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spacing w:before="480"/>
      <w:outlineLvl w:val="0"/>
    </w:pPr>
    <w:rPr>
      <w:b/>
      <w:color w:val="345A8A"/>
      <w:sz w:val="32"/>
      <w:szCs w:val="32"/>
    </w:rPr>
  </w:style>
  <w:style w:type="paragraph" w:styleId="Heading2">
    <w:name w:val="heading 2"/>
    <w:basedOn w:val="normal0"/>
    <w:next w:val="normal0"/>
    <w:pPr>
      <w:spacing w:before="200"/>
      <w:outlineLvl w:val="1"/>
    </w:pPr>
    <w:rPr>
      <w:b/>
      <w:color w:val="4F81BD"/>
      <w:sz w:val="26"/>
      <w:szCs w:val="26"/>
    </w:rPr>
  </w:style>
  <w:style w:type="paragraph" w:styleId="Heading3">
    <w:name w:val="heading 3"/>
    <w:basedOn w:val="normal0"/>
    <w:next w:val="normal0"/>
    <w:pPr>
      <w:spacing w:before="200"/>
      <w:outlineLvl w:val="2"/>
    </w:pPr>
    <w:rPr>
      <w:b/>
      <w:color w:val="4F81BD"/>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pBdr>
        <w:top w:val="nil"/>
        <w:left w:val="nil"/>
        <w:bottom w:val="nil"/>
        <w:right w:val="nil"/>
        <w:between w:val="nil"/>
      </w:pBdr>
      <w:spacing w:after="60" w:line="276" w:lineRule="auto"/>
    </w:pPr>
    <w:rPr>
      <w:rFonts w:ascii="Arial" w:eastAsia="Arial" w:hAnsi="Arial" w:cs="Arial"/>
      <w:color w:val="000000"/>
      <w:sz w:val="52"/>
      <w:szCs w:val="52"/>
    </w:rPr>
  </w:style>
  <w:style w:type="paragraph" w:styleId="Subtitle">
    <w:name w:val="Subtitle"/>
    <w:basedOn w:val="normal0"/>
    <w:next w:val="normal0"/>
    <w:rPr>
      <w:i/>
      <w:color w:val="4F81BD"/>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BD18F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spacing w:before="480"/>
      <w:outlineLvl w:val="0"/>
    </w:pPr>
    <w:rPr>
      <w:b/>
      <w:color w:val="345A8A"/>
      <w:sz w:val="32"/>
      <w:szCs w:val="32"/>
    </w:rPr>
  </w:style>
  <w:style w:type="paragraph" w:styleId="Heading2">
    <w:name w:val="heading 2"/>
    <w:basedOn w:val="normal0"/>
    <w:next w:val="normal0"/>
    <w:pPr>
      <w:spacing w:before="200"/>
      <w:outlineLvl w:val="1"/>
    </w:pPr>
    <w:rPr>
      <w:b/>
      <w:color w:val="4F81BD"/>
      <w:sz w:val="26"/>
      <w:szCs w:val="26"/>
    </w:rPr>
  </w:style>
  <w:style w:type="paragraph" w:styleId="Heading3">
    <w:name w:val="heading 3"/>
    <w:basedOn w:val="normal0"/>
    <w:next w:val="normal0"/>
    <w:pPr>
      <w:spacing w:before="200"/>
      <w:outlineLvl w:val="2"/>
    </w:pPr>
    <w:rPr>
      <w:b/>
      <w:color w:val="4F81BD"/>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pBdr>
        <w:top w:val="nil"/>
        <w:left w:val="nil"/>
        <w:bottom w:val="nil"/>
        <w:right w:val="nil"/>
        <w:between w:val="nil"/>
      </w:pBdr>
      <w:spacing w:after="60" w:line="276" w:lineRule="auto"/>
    </w:pPr>
    <w:rPr>
      <w:rFonts w:ascii="Arial" w:eastAsia="Arial" w:hAnsi="Arial" w:cs="Arial"/>
      <w:color w:val="000000"/>
      <w:sz w:val="52"/>
      <w:szCs w:val="52"/>
    </w:rPr>
  </w:style>
  <w:style w:type="paragraph" w:styleId="Subtitle">
    <w:name w:val="Subtitle"/>
    <w:basedOn w:val="normal0"/>
    <w:next w:val="normal0"/>
    <w:rPr>
      <w:i/>
      <w:color w:val="4F81BD"/>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BD18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https://paperpile.com/c/P8VeBX/uLEZ+35cs+tPSw+GDcH+Z4Xr" TargetMode="External"/><Relationship Id="rId11" Type="http://schemas.openxmlformats.org/officeDocument/2006/relationships/hyperlink" Target="https://paperpile.com/c/P8VeBX/uLEZ+35cs+tPSw+GDcH+Z4Xr" TargetMode="External"/><Relationship Id="rId12" Type="http://schemas.openxmlformats.org/officeDocument/2006/relationships/hyperlink" Target="https://paperpile.com/c/P8VeBX/uLEZ+35cs+tPSw+GDcH+Z4Xr" TargetMode="External"/><Relationship Id="rId13" Type="http://schemas.openxmlformats.org/officeDocument/2006/relationships/hyperlink" Target="https://paperpile.com/c/P8VeBX/uLEZ+35cs+tPSw+GDcH+Z4Xr" TargetMode="External"/><Relationship Id="rId14" Type="http://schemas.openxmlformats.org/officeDocument/2006/relationships/hyperlink" Target="https://paperpile.com/c/P8VeBX/uLEZ+35cs+tPSw+GDcH+Z4Xr" TargetMode="External"/><Relationship Id="rId15" Type="http://schemas.openxmlformats.org/officeDocument/2006/relationships/hyperlink" Target="https://paperpile.com/c/P8VeBX/uLEZ+35cs+tPSw+GDcH+Z4Xr" TargetMode="External"/><Relationship Id="rId16" Type="http://schemas.openxmlformats.org/officeDocument/2006/relationships/hyperlink" Target="https://paperpile.com/c/P8VeBX/uLEZ+35cs+tPSw+GDcH+Z4Xr" TargetMode="External"/><Relationship Id="rId17" Type="http://schemas.openxmlformats.org/officeDocument/2006/relationships/hyperlink" Target="https://paperpile.com/c/P8VeBX/uLEZ+35cs+tPSw+GDcH+Z4Xr" TargetMode="External"/><Relationship Id="rId18" Type="http://schemas.openxmlformats.org/officeDocument/2006/relationships/hyperlink" Target="https://paperpile.com/c/P8VeBX/uLEZ+35cs+tPSw+GDcH+Z4Xr" TargetMode="External"/><Relationship Id="rId19" Type="http://schemas.openxmlformats.org/officeDocument/2006/relationships/hyperlink" Target="https://paperpile.com/c/P8VeBX/Stkc" TargetMode="External"/><Relationship Id="rId60" Type="http://schemas.openxmlformats.org/officeDocument/2006/relationships/hyperlink" Target="http://paperpile.com/b/P8VeBX/qnJs" TargetMode="External"/><Relationship Id="rId61" Type="http://schemas.openxmlformats.org/officeDocument/2006/relationships/hyperlink" Target="http://paperpile.com/b/P8VeBX/qnJs" TargetMode="External"/><Relationship Id="rId62" Type="http://schemas.openxmlformats.org/officeDocument/2006/relationships/hyperlink" Target="http://paperpile.com/b/P8VeBX/qnJs" TargetMode="External"/><Relationship Id="rId63" Type="http://schemas.openxmlformats.org/officeDocument/2006/relationships/hyperlink" Target="http://paperpile.com/b/P8VeBX/35cs" TargetMode="External"/><Relationship Id="rId64" Type="http://schemas.openxmlformats.org/officeDocument/2006/relationships/hyperlink" Target="http://paperpile.com/b/P8VeBX/35cs" TargetMode="External"/><Relationship Id="rId65" Type="http://schemas.openxmlformats.org/officeDocument/2006/relationships/hyperlink" Target="http://paperpile.com/b/P8VeBX/35cs" TargetMode="External"/><Relationship Id="rId66" Type="http://schemas.openxmlformats.org/officeDocument/2006/relationships/hyperlink" Target="http://paperpile.com/b/P8VeBX/35cs" TargetMode="External"/><Relationship Id="rId67" Type="http://schemas.openxmlformats.org/officeDocument/2006/relationships/hyperlink" Target="http://paperpile.com/b/P8VeBX/35cs" TargetMode="External"/><Relationship Id="rId68" Type="http://schemas.openxmlformats.org/officeDocument/2006/relationships/hyperlink" Target="http://paperpile.com/b/P8VeBX/35cs" TargetMode="External"/><Relationship Id="rId69" Type="http://schemas.openxmlformats.org/officeDocument/2006/relationships/hyperlink" Target="http://paperpile.com/b/P8VeBX/35cs" TargetMode="External"/><Relationship Id="rId120" Type="http://schemas.openxmlformats.org/officeDocument/2006/relationships/hyperlink" Target="http://paperpile.com/b/P8VeBX/uLEZ" TargetMode="External"/><Relationship Id="rId121" Type="http://schemas.openxmlformats.org/officeDocument/2006/relationships/hyperlink" Target="http://paperpile.com/b/P8VeBX/uLEZ" TargetMode="External"/><Relationship Id="rId122" Type="http://schemas.openxmlformats.org/officeDocument/2006/relationships/hyperlink" Target="http://paperpile.com/b/P8VeBX/uLEZ" TargetMode="External"/><Relationship Id="rId123" Type="http://schemas.openxmlformats.org/officeDocument/2006/relationships/hyperlink" Target="http://paperpile.com/b/P8VeBX/uLEZ" TargetMode="External"/><Relationship Id="rId124" Type="http://schemas.openxmlformats.org/officeDocument/2006/relationships/header" Target="header1.xml"/><Relationship Id="rId125" Type="http://schemas.openxmlformats.org/officeDocument/2006/relationships/footer" Target="footer1.xml"/><Relationship Id="rId126" Type="http://schemas.openxmlformats.org/officeDocument/2006/relationships/fontTable" Target="fontTable.xml"/><Relationship Id="rId127" Type="http://schemas.openxmlformats.org/officeDocument/2006/relationships/theme" Target="theme/theme1.xml"/><Relationship Id="rId40" Type="http://schemas.openxmlformats.org/officeDocument/2006/relationships/hyperlink" Target="http://paperpile.com/b/P8VeBX/sdcE" TargetMode="External"/><Relationship Id="rId41" Type="http://schemas.openxmlformats.org/officeDocument/2006/relationships/hyperlink" Target="http://paperpile.com/b/P8VeBX/sdcE" TargetMode="External"/><Relationship Id="rId42" Type="http://schemas.openxmlformats.org/officeDocument/2006/relationships/hyperlink" Target="http://paperpile.com/b/P8VeBX/sdcE" TargetMode="External"/><Relationship Id="rId90" Type="http://schemas.openxmlformats.org/officeDocument/2006/relationships/hyperlink" Target="http://paperpile.com/b/P8VeBX/Z4Xr" TargetMode="External"/><Relationship Id="rId91" Type="http://schemas.openxmlformats.org/officeDocument/2006/relationships/hyperlink" Target="http://paperpile.com/b/P8VeBX/Z4Xr" TargetMode="External"/><Relationship Id="rId92" Type="http://schemas.openxmlformats.org/officeDocument/2006/relationships/hyperlink" Target="http://paperpile.com/b/P8VeBX/tPSw" TargetMode="External"/><Relationship Id="rId93" Type="http://schemas.openxmlformats.org/officeDocument/2006/relationships/hyperlink" Target="http://paperpile.com/b/P8VeBX/tPSw" TargetMode="External"/><Relationship Id="rId94" Type="http://schemas.openxmlformats.org/officeDocument/2006/relationships/hyperlink" Target="http://paperpile.com/b/P8VeBX/tPSw" TargetMode="External"/><Relationship Id="rId95" Type="http://schemas.openxmlformats.org/officeDocument/2006/relationships/hyperlink" Target="http://paperpile.com/b/P8VeBX/tPSw" TargetMode="External"/><Relationship Id="rId96" Type="http://schemas.openxmlformats.org/officeDocument/2006/relationships/hyperlink" Target="http://paperpile.com/b/P8VeBX/tPSw" TargetMode="External"/><Relationship Id="rId101" Type="http://schemas.openxmlformats.org/officeDocument/2006/relationships/hyperlink" Target="http://paperpile.com/b/P8VeBX/wO8k" TargetMode="External"/><Relationship Id="rId102" Type="http://schemas.openxmlformats.org/officeDocument/2006/relationships/hyperlink" Target="http://paperpile.com/b/P8VeBX/wO8k" TargetMode="External"/><Relationship Id="rId103" Type="http://schemas.openxmlformats.org/officeDocument/2006/relationships/hyperlink" Target="http://paperpile.com/b/P8VeBX/wO8k" TargetMode="External"/><Relationship Id="rId104" Type="http://schemas.openxmlformats.org/officeDocument/2006/relationships/hyperlink" Target="http://paperpile.com/b/P8VeBX/wO8k" TargetMode="External"/><Relationship Id="rId105" Type="http://schemas.openxmlformats.org/officeDocument/2006/relationships/hyperlink" Target="http://paperpile.com/b/P8VeBX/wO8k" TargetMode="External"/><Relationship Id="rId106" Type="http://schemas.openxmlformats.org/officeDocument/2006/relationships/hyperlink" Target="http://paperpile.com/b/P8VeBX/wO8k" TargetMode="External"/><Relationship Id="rId107" Type="http://schemas.openxmlformats.org/officeDocument/2006/relationships/hyperlink" Target="http://paperpile.com/b/P8VeBX/wO8k" TargetMode="External"/><Relationship Id="rId108" Type="http://schemas.openxmlformats.org/officeDocument/2006/relationships/hyperlink" Target="http://paperpile.com/b/P8VeBX/Stkc" TargetMode="External"/><Relationship Id="rId109" Type="http://schemas.openxmlformats.org/officeDocument/2006/relationships/hyperlink" Target="http://paperpile.com/b/P8VeBX/Stkc" TargetMode="External"/><Relationship Id="rId97" Type="http://schemas.openxmlformats.org/officeDocument/2006/relationships/hyperlink" Target="http://paperpile.com/b/P8VeBX/tPSw" TargetMode="External"/><Relationship Id="rId98" Type="http://schemas.openxmlformats.org/officeDocument/2006/relationships/hyperlink" Target="http://paperpile.com/b/P8VeBX/tPSw" TargetMode="External"/><Relationship Id="rId99" Type="http://schemas.openxmlformats.org/officeDocument/2006/relationships/hyperlink" Target="http://paperpile.com/b/P8VeBX/tPSw" TargetMode="External"/><Relationship Id="rId43" Type="http://schemas.openxmlformats.org/officeDocument/2006/relationships/hyperlink" Target="http://paperpile.com/b/P8VeBX/sdcE" TargetMode="External"/><Relationship Id="rId44" Type="http://schemas.openxmlformats.org/officeDocument/2006/relationships/hyperlink" Target="http://paperpile.com/b/P8VeBX/sdcE" TargetMode="External"/><Relationship Id="rId45" Type="http://schemas.openxmlformats.org/officeDocument/2006/relationships/hyperlink" Target="http://paperpile.com/b/P8VeBX/GDcH" TargetMode="External"/><Relationship Id="rId46" Type="http://schemas.openxmlformats.org/officeDocument/2006/relationships/hyperlink" Target="http://paperpile.com/b/P8VeBX/GDcH" TargetMode="External"/><Relationship Id="rId47" Type="http://schemas.openxmlformats.org/officeDocument/2006/relationships/hyperlink" Target="http://paperpile.com/b/P8VeBX/GDcH" TargetMode="External"/><Relationship Id="rId48" Type="http://schemas.openxmlformats.org/officeDocument/2006/relationships/hyperlink" Target="http://paperpile.com/b/P8VeBX/GDcH" TargetMode="External"/><Relationship Id="rId49" Type="http://schemas.openxmlformats.org/officeDocument/2006/relationships/hyperlink" Target="http://paperpile.com/b/P8VeBX/GDcH" TargetMode="External"/><Relationship Id="rId100" Type="http://schemas.openxmlformats.org/officeDocument/2006/relationships/hyperlink" Target="http://paperpile.com/b/P8VeBX/tPSw" TargetMode="External"/><Relationship Id="rId20" Type="http://schemas.openxmlformats.org/officeDocument/2006/relationships/hyperlink" Target="https://paperpile.com/c/P8VeBX/Stkc" TargetMode="External"/><Relationship Id="rId21" Type="http://schemas.openxmlformats.org/officeDocument/2006/relationships/hyperlink" Target="https://paperpile.com/c/P8VeBX/Stkc" TargetMode="External"/><Relationship Id="rId22" Type="http://schemas.openxmlformats.org/officeDocument/2006/relationships/hyperlink" Target="https://paperpile.com/c/P8VeBX/7NmMK" TargetMode="External"/><Relationship Id="rId70" Type="http://schemas.openxmlformats.org/officeDocument/2006/relationships/hyperlink" Target="http://paperpile.com/b/P8VeBX/35cs" TargetMode="External"/><Relationship Id="rId71" Type="http://schemas.openxmlformats.org/officeDocument/2006/relationships/hyperlink" Target="http://paperpile.com/b/P8VeBX/35cs" TargetMode="External"/><Relationship Id="rId72" Type="http://schemas.openxmlformats.org/officeDocument/2006/relationships/hyperlink" Target="http://paperpile.com/b/P8VeBX/7NmMK" TargetMode="External"/><Relationship Id="rId73" Type="http://schemas.openxmlformats.org/officeDocument/2006/relationships/hyperlink" Target="http://paperpile.com/b/P8VeBX/7NmMK" TargetMode="External"/><Relationship Id="rId74" Type="http://schemas.openxmlformats.org/officeDocument/2006/relationships/hyperlink" Target="http://paperpile.com/b/P8VeBX/7NmMK" TargetMode="External"/><Relationship Id="rId75" Type="http://schemas.openxmlformats.org/officeDocument/2006/relationships/hyperlink" Target="http://paperpile.com/b/P8VeBX/7NmMK" TargetMode="External"/><Relationship Id="rId76" Type="http://schemas.openxmlformats.org/officeDocument/2006/relationships/hyperlink" Target="http://paperpile.com/b/P8VeBX/7NmMK" TargetMode="External"/><Relationship Id="rId77" Type="http://schemas.openxmlformats.org/officeDocument/2006/relationships/hyperlink" Target="http://paperpile.com/b/P8VeBX/7NmMK" TargetMode="External"/><Relationship Id="rId78" Type="http://schemas.openxmlformats.org/officeDocument/2006/relationships/hyperlink" Target="http://paperpile.com/b/P8VeBX/7NmMK" TargetMode="External"/><Relationship Id="rId79" Type="http://schemas.openxmlformats.org/officeDocument/2006/relationships/hyperlink" Target="http://paperpile.com/b/P8VeBX/Z4Xr" TargetMode="External"/><Relationship Id="rId23" Type="http://schemas.openxmlformats.org/officeDocument/2006/relationships/hyperlink" Target="https://paperpile.com/c/P8VeBX/7NmMK" TargetMode="External"/><Relationship Id="rId24" Type="http://schemas.openxmlformats.org/officeDocument/2006/relationships/hyperlink" Target="https://paperpile.com/c/P8VeBX/7NmMK" TargetMode="External"/><Relationship Id="rId25" Type="http://schemas.openxmlformats.org/officeDocument/2006/relationships/hyperlink" Target="https://support.bioconductor.org/p/108576/" TargetMode="External"/><Relationship Id="rId26" Type="http://schemas.openxmlformats.org/officeDocument/2006/relationships/hyperlink" Target="https://paperpile.com/c/P8VeBX/qnJs" TargetMode="External"/><Relationship Id="rId27" Type="http://schemas.openxmlformats.org/officeDocument/2006/relationships/hyperlink" Target="https://paperpile.com/c/P8VeBX/qnJs" TargetMode="External"/><Relationship Id="rId28" Type="http://schemas.openxmlformats.org/officeDocument/2006/relationships/hyperlink" Target="https://paperpile.com/c/P8VeBX/qnJs" TargetMode="External"/><Relationship Id="rId29" Type="http://schemas.openxmlformats.org/officeDocument/2006/relationships/hyperlink" Target="https://paperpile.com/c/P8VeBX/sdc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paperpile.com/c/P8VeBX/uLEZ+35cs+tPSw+GDcH+Z4Xr" TargetMode="External"/><Relationship Id="rId9" Type="http://schemas.openxmlformats.org/officeDocument/2006/relationships/hyperlink" Target="https://paperpile.com/c/P8VeBX/uLEZ+35cs+tPSw+GDcH+Z4Xr" TargetMode="External"/><Relationship Id="rId50" Type="http://schemas.openxmlformats.org/officeDocument/2006/relationships/hyperlink" Target="http://paperpile.com/b/P8VeBX/GDcH" TargetMode="External"/><Relationship Id="rId51" Type="http://schemas.openxmlformats.org/officeDocument/2006/relationships/hyperlink" Target="http://paperpile.com/b/P8VeBX/GDcH" TargetMode="External"/><Relationship Id="rId52" Type="http://schemas.openxmlformats.org/officeDocument/2006/relationships/hyperlink" Target="http://paperpile.com/b/P8VeBX/GDcH" TargetMode="External"/><Relationship Id="rId53" Type="http://schemas.openxmlformats.org/officeDocument/2006/relationships/hyperlink" Target="http://paperpile.com/b/P8VeBX/GDcH" TargetMode="External"/><Relationship Id="rId54" Type="http://schemas.openxmlformats.org/officeDocument/2006/relationships/hyperlink" Target="http://paperpile.com/b/P8VeBX/GDcH" TargetMode="External"/><Relationship Id="rId55" Type="http://schemas.openxmlformats.org/officeDocument/2006/relationships/hyperlink" Target="http://paperpile.com/b/P8VeBX/GDcH" TargetMode="External"/><Relationship Id="rId56" Type="http://schemas.openxmlformats.org/officeDocument/2006/relationships/hyperlink" Target="http://paperpile.com/b/P8VeBX/qnJs" TargetMode="External"/><Relationship Id="rId57" Type="http://schemas.openxmlformats.org/officeDocument/2006/relationships/hyperlink" Target="http://paperpile.com/b/P8VeBX/qnJs" TargetMode="External"/><Relationship Id="rId58" Type="http://schemas.openxmlformats.org/officeDocument/2006/relationships/hyperlink" Target="http://paperpile.com/b/P8VeBX/qnJs" TargetMode="External"/><Relationship Id="rId59" Type="http://schemas.openxmlformats.org/officeDocument/2006/relationships/hyperlink" Target="http://paperpile.com/b/P8VeBX/qnJs" TargetMode="External"/><Relationship Id="rId110" Type="http://schemas.openxmlformats.org/officeDocument/2006/relationships/hyperlink" Target="http://paperpile.com/b/P8VeBX/Stkc" TargetMode="External"/><Relationship Id="rId111" Type="http://schemas.openxmlformats.org/officeDocument/2006/relationships/hyperlink" Target="http://paperpile.com/b/P8VeBX/Stkc" TargetMode="External"/><Relationship Id="rId112" Type="http://schemas.openxmlformats.org/officeDocument/2006/relationships/hyperlink" Target="http://paperpile.com/b/P8VeBX/Stkc" TargetMode="External"/><Relationship Id="rId113" Type="http://schemas.openxmlformats.org/officeDocument/2006/relationships/hyperlink" Target="http://paperpile.com/b/P8VeBX/Stkc" TargetMode="External"/><Relationship Id="rId114" Type="http://schemas.openxmlformats.org/officeDocument/2006/relationships/hyperlink" Target="http://paperpile.com/b/P8VeBX/Stkc" TargetMode="External"/><Relationship Id="rId115" Type="http://schemas.openxmlformats.org/officeDocument/2006/relationships/hyperlink" Target="http://paperpile.com/b/P8VeBX/Stkc" TargetMode="External"/><Relationship Id="rId116" Type="http://schemas.openxmlformats.org/officeDocument/2006/relationships/hyperlink" Target="http://paperpile.com/b/P8VeBX/Stkc" TargetMode="External"/><Relationship Id="rId117" Type="http://schemas.openxmlformats.org/officeDocument/2006/relationships/hyperlink" Target="http://paperpile.com/b/P8VeBX/uLEZ" TargetMode="External"/><Relationship Id="rId118" Type="http://schemas.openxmlformats.org/officeDocument/2006/relationships/hyperlink" Target="http://paperpile.com/b/P8VeBX/uLEZ" TargetMode="External"/><Relationship Id="rId119" Type="http://schemas.openxmlformats.org/officeDocument/2006/relationships/hyperlink" Target="http://paperpile.com/b/P8VeBX/uLEZ" TargetMode="External"/><Relationship Id="rId30" Type="http://schemas.openxmlformats.org/officeDocument/2006/relationships/hyperlink" Target="https://paperpile.com/c/P8VeBX/sdcE" TargetMode="External"/><Relationship Id="rId31" Type="http://schemas.openxmlformats.org/officeDocument/2006/relationships/hyperlink" Target="https://paperpile.com/c/P8VeBX/sdcE" TargetMode="External"/><Relationship Id="rId32" Type="http://schemas.openxmlformats.org/officeDocument/2006/relationships/hyperlink" Target="https://paperpile.com/c/P8VeBX/wO8k" TargetMode="External"/><Relationship Id="rId33" Type="http://schemas.openxmlformats.org/officeDocument/2006/relationships/hyperlink" Target="https://paperpile.com/c/P8VeBX/wO8k" TargetMode="External"/><Relationship Id="rId34" Type="http://schemas.openxmlformats.org/officeDocument/2006/relationships/hyperlink" Target="https://paperpile.com/c/P8VeBX/wO8k" TargetMode="External"/><Relationship Id="rId35" Type="http://schemas.openxmlformats.org/officeDocument/2006/relationships/image" Target="media/image1.jpg"/><Relationship Id="rId36" Type="http://schemas.openxmlformats.org/officeDocument/2006/relationships/image" Target="media/image2.png"/><Relationship Id="rId37" Type="http://schemas.openxmlformats.org/officeDocument/2006/relationships/image" Target="media/image3.emf"/><Relationship Id="rId38" Type="http://schemas.openxmlformats.org/officeDocument/2006/relationships/image" Target="media/image4.png"/><Relationship Id="rId39" Type="http://schemas.openxmlformats.org/officeDocument/2006/relationships/image" Target="media/image5.png"/><Relationship Id="rId80" Type="http://schemas.openxmlformats.org/officeDocument/2006/relationships/hyperlink" Target="http://paperpile.com/b/P8VeBX/Z4Xr" TargetMode="External"/><Relationship Id="rId81" Type="http://schemas.openxmlformats.org/officeDocument/2006/relationships/hyperlink" Target="http://paperpile.com/b/P8VeBX/Z4Xr" TargetMode="External"/><Relationship Id="rId82" Type="http://schemas.openxmlformats.org/officeDocument/2006/relationships/hyperlink" Target="http://paperpile.com/b/P8VeBX/Z4Xr" TargetMode="External"/><Relationship Id="rId83" Type="http://schemas.openxmlformats.org/officeDocument/2006/relationships/hyperlink" Target="http://paperpile.com/b/P8VeBX/Z4Xr" TargetMode="External"/><Relationship Id="rId84" Type="http://schemas.openxmlformats.org/officeDocument/2006/relationships/hyperlink" Target="http://paperpile.com/b/P8VeBX/Z4Xr" TargetMode="External"/><Relationship Id="rId85" Type="http://schemas.openxmlformats.org/officeDocument/2006/relationships/hyperlink" Target="http://paperpile.com/b/P8VeBX/Z4Xr" TargetMode="External"/><Relationship Id="rId86" Type="http://schemas.openxmlformats.org/officeDocument/2006/relationships/hyperlink" Target="http://paperpile.com/b/P8VeBX/Z4Xr" TargetMode="External"/><Relationship Id="rId87" Type="http://schemas.openxmlformats.org/officeDocument/2006/relationships/hyperlink" Target="http://paperpile.com/b/P8VeBX/Z4Xr" TargetMode="External"/><Relationship Id="rId88" Type="http://schemas.openxmlformats.org/officeDocument/2006/relationships/hyperlink" Target="http://paperpile.com/b/P8VeBX/Z4Xr" TargetMode="External"/><Relationship Id="rId89" Type="http://schemas.openxmlformats.org/officeDocument/2006/relationships/hyperlink" Target="http://paperpile.com/b/P8VeBX/Z4X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2679</Words>
  <Characters>15276</Characters>
  <Application>Microsoft Macintosh Word</Application>
  <DocSecurity>0</DocSecurity>
  <Lines>127</Lines>
  <Paragraphs>35</Paragraphs>
  <ScaleCrop>false</ScaleCrop>
  <Company>Trinity College Dublin</Company>
  <LinksUpToDate>false</LinksUpToDate>
  <CharactersWithSpaces>17920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Joe Colgan</cp:lastModifiedBy>
  <cp:revision>2</cp:revision>
  <dcterms:created xsi:type="dcterms:W3CDTF">2019-02-11T09:25:00Z</dcterms:created>
  <dcterms:modified xsi:type="dcterms:W3CDTF">2019-02-11T09:25:00Z</dcterms:modified>
</cp:coreProperties>
</file>